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3FFF97FC" w14:textId="77777777" w:rsidR="002D5306" w:rsidRDefault="002D5306" w:rsidP="002D5306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AE636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Dostęp dla Uniwersytetu Śląskiego do wydawnictw </w:t>
            </w:r>
            <w:proofErr w:type="spellStart"/>
            <w:r w:rsidRPr="00AE636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Elsevier</w:t>
            </w:r>
            <w:proofErr w:type="spellEnd"/>
            <w:r w:rsidRPr="00AE636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4B767756" w14:textId="01B4497E" w:rsidR="002D5306" w:rsidRPr="00E054BA" w:rsidRDefault="002D5306" w:rsidP="002D5306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okresie od 01.01.202</w:t>
            </w:r>
            <w:r w:rsidR="001B54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r. – 31.12.202</w:t>
            </w:r>
            <w:r w:rsidR="001B54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</w:t>
            </w:r>
            <w:r w:rsidRPr="00AE636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r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57DAA25F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1F59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382.4.2</w:t>
            </w:r>
            <w:r w:rsidR="001B54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 w:rsidR="001F59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B54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781ED6" w14:textId="77777777" w:rsidR="000715B9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</w:t>
      </w:r>
    </w:p>
    <w:p w14:paraId="1C265F5D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A980337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724FBE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F39FCF7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A9A2D5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1AE6A05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886F38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AD454C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760E55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1103672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C9683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6C4F92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78B679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BF8533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DCC149F" w14:textId="77777777" w:rsidR="000715B9" w:rsidRDefault="000715B9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965B48B" w:rsidR="00272E3F" w:rsidRPr="00E054BA" w:rsidRDefault="000B0AA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187F782" w14:textId="77777777" w:rsidR="00623136" w:rsidRDefault="0062313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3BEA4A71" w:rsidR="00E054BA" w:rsidRDefault="000715B9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mgr Agnieszka Maj – </w:t>
      </w:r>
    </w:p>
    <w:p w14:paraId="6442F083" w14:textId="35D0C6A9" w:rsidR="000715B9" w:rsidRDefault="000715B9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Z-ca Kanclerza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4249E20" w14:textId="77777777" w:rsidR="000715B9" w:rsidRDefault="000715B9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936190" w14:textId="77777777" w:rsidR="000715B9" w:rsidRDefault="000715B9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81A75E8" w14:textId="77777777" w:rsidR="000715B9" w:rsidRDefault="000715B9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64A66E2" w14:textId="77777777" w:rsidR="000715B9" w:rsidRDefault="000715B9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3BA54DF" w14:textId="7A29F289" w:rsidR="00F85C46" w:rsidRPr="00FE10A7" w:rsidRDefault="00F85C46" w:rsidP="00EB6EA4">
      <w:pPr>
        <w:spacing w:before="40" w:after="40" w:line="240" w:lineRule="auto"/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F5933">
        <w:rPr>
          <w:rFonts w:eastAsia="Calibri" w:cs="Arial"/>
          <w:color w:val="222A35" w:themeColor="text2" w:themeShade="80"/>
          <w:szCs w:val="20"/>
          <w:lang w:eastAsia="pl-PL"/>
        </w:rPr>
        <w:t>listopad 202</w:t>
      </w:r>
      <w:r w:rsidR="001B54E2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1F5933">
        <w:rPr>
          <w:rFonts w:eastAsia="Calibri" w:cs="Arial"/>
          <w:color w:val="222A35" w:themeColor="text2" w:themeShade="80"/>
          <w:szCs w:val="20"/>
          <w:lang w:eastAsia="pl-PL"/>
        </w:rPr>
        <w:t xml:space="preserve"> r.</w:t>
      </w: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6873729F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434F70EB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2D314584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20C612E0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3E5B0D70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3904BE60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04AC86E6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014ECA10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15D85118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15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2470EA66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2E9B70DC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2F25E351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038AC0D1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7CA819A5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107A4E2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65B578C5" w:rsidR="005975F7" w:rsidRPr="005975F7" w:rsidRDefault="000715B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0EA0">
          <w:rPr>
            <w:rFonts w:ascii="Bahnschrift" w:hAnsi="Bahnschrift"/>
            <w:noProof/>
            <w:webHidden/>
            <w:sz w:val="20"/>
          </w:rPr>
          <w:t>24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46154F8F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7D159C29" w14:textId="5C44919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46D2D">
        <w:rPr>
          <w:rFonts w:cs="Arial"/>
          <w:color w:val="222A35" w:themeColor="text2" w:themeShade="80"/>
          <w:szCs w:val="20"/>
        </w:rPr>
        <w:t>2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1734EEA" w14:textId="77777777" w:rsidR="00946D2D" w:rsidRDefault="00946D2D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6169485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75B1E115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1F5933">
        <w:t>t.j</w:t>
      </w:r>
      <w:proofErr w:type="spellEnd"/>
      <w:r w:rsidR="001F5933">
        <w:t xml:space="preserve">. </w:t>
      </w:r>
      <w:r w:rsidRPr="005A39C3">
        <w:t>Dz.U</w:t>
      </w:r>
      <w:r w:rsidR="00927D0B">
        <w:rPr>
          <w:rFonts w:eastAsia="Calibri"/>
        </w:rPr>
        <w:t>. z 202</w:t>
      </w:r>
      <w:r w:rsidR="001B54E2">
        <w:rPr>
          <w:rFonts w:eastAsia="Calibri"/>
        </w:rPr>
        <w:t>4</w:t>
      </w:r>
      <w:r w:rsidR="00927D0B">
        <w:rPr>
          <w:rFonts w:eastAsia="Calibri"/>
        </w:rPr>
        <w:t xml:space="preserve"> </w:t>
      </w:r>
      <w:r w:rsidRPr="005A39C3">
        <w:rPr>
          <w:rFonts w:eastAsia="Calibri"/>
        </w:rPr>
        <w:t xml:space="preserve">r. poz. </w:t>
      </w:r>
      <w:r w:rsidR="001F5933">
        <w:rPr>
          <w:rFonts w:eastAsia="Calibri"/>
        </w:rPr>
        <w:t>1</w:t>
      </w:r>
      <w:r w:rsidR="001B54E2">
        <w:rPr>
          <w:rFonts w:eastAsia="Calibri"/>
        </w:rPr>
        <w:t>320</w:t>
      </w:r>
      <w:r w:rsidRPr="005A39C3">
        <w:rPr>
          <w:rFonts w:eastAsia="Calibri"/>
        </w:rPr>
        <w:t xml:space="preserve">) 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569FBC89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8E2280">
        <w:t xml:space="preserve"> 2</w:t>
      </w:r>
      <w:r w:rsidR="001B54E2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CD7EDD9" w14:textId="766232C2" w:rsidR="005A39C3" w:rsidRPr="002D5306" w:rsidRDefault="00F85C46" w:rsidP="00BC1468">
      <w:pPr>
        <w:pStyle w:val="Nagwek3"/>
        <w:numPr>
          <w:ilvl w:val="0"/>
          <w:numId w:val="45"/>
        </w:numPr>
        <w:ind w:left="851" w:hanging="284"/>
        <w:rPr>
          <w:rFonts w:cs="Arial"/>
          <w:b/>
          <w:bCs w:val="0"/>
          <w:szCs w:val="20"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5" w:name="_Hlk65743392"/>
      <w:r w:rsidRPr="002D5306">
        <w:rPr>
          <w:b/>
          <w:lang w:eastAsia="pl-PL"/>
        </w:rPr>
        <w:t>„</w:t>
      </w:r>
      <w:r w:rsidR="002D5306" w:rsidRPr="002D5306">
        <w:rPr>
          <w:rFonts w:cs="Arial"/>
          <w:b/>
          <w:bCs w:val="0"/>
          <w:szCs w:val="20"/>
          <w:lang w:eastAsia="pl-PL"/>
        </w:rPr>
        <w:t xml:space="preserve">Dostęp dla Uniwersytetu Śląskiego do wydawnictw </w:t>
      </w:r>
      <w:proofErr w:type="spellStart"/>
      <w:r w:rsidR="002D5306" w:rsidRPr="002D5306">
        <w:rPr>
          <w:rFonts w:cs="Arial"/>
          <w:b/>
          <w:bCs w:val="0"/>
          <w:szCs w:val="20"/>
          <w:lang w:eastAsia="pl-PL"/>
        </w:rPr>
        <w:t>Elsevier</w:t>
      </w:r>
      <w:proofErr w:type="spellEnd"/>
      <w:r w:rsidR="002D5306" w:rsidRPr="002D5306">
        <w:rPr>
          <w:rFonts w:cs="Arial"/>
          <w:b/>
          <w:bCs w:val="0"/>
          <w:szCs w:val="20"/>
          <w:lang w:eastAsia="pl-PL"/>
        </w:rPr>
        <w:t xml:space="preserve"> w okresie od 01.01.202</w:t>
      </w:r>
      <w:r w:rsidR="001B54E2">
        <w:rPr>
          <w:rFonts w:cs="Arial"/>
          <w:b/>
          <w:bCs w:val="0"/>
          <w:szCs w:val="20"/>
          <w:lang w:eastAsia="pl-PL"/>
        </w:rPr>
        <w:t>5</w:t>
      </w:r>
      <w:r w:rsidR="002D5306" w:rsidRPr="002D5306">
        <w:rPr>
          <w:rFonts w:cs="Arial"/>
          <w:b/>
          <w:bCs w:val="0"/>
          <w:szCs w:val="20"/>
          <w:lang w:eastAsia="pl-PL"/>
        </w:rPr>
        <w:t xml:space="preserve"> r. – 31.12.202</w:t>
      </w:r>
      <w:r w:rsidR="001B54E2">
        <w:rPr>
          <w:rFonts w:cs="Arial"/>
          <w:b/>
          <w:bCs w:val="0"/>
          <w:szCs w:val="20"/>
          <w:lang w:eastAsia="pl-PL"/>
        </w:rPr>
        <w:t>5</w:t>
      </w:r>
      <w:r w:rsidR="002D5306" w:rsidRPr="002D5306">
        <w:rPr>
          <w:rFonts w:cs="Arial"/>
          <w:b/>
          <w:bCs w:val="0"/>
          <w:szCs w:val="20"/>
          <w:lang w:eastAsia="pl-PL"/>
        </w:rPr>
        <w:t xml:space="preserve"> r</w:t>
      </w:r>
      <w:r w:rsidR="002D5306">
        <w:rPr>
          <w:rFonts w:cs="Arial"/>
          <w:b/>
          <w:bCs w:val="0"/>
          <w:szCs w:val="20"/>
          <w:lang w:eastAsia="pl-PL"/>
        </w:rPr>
        <w:t>.</w:t>
      </w:r>
      <w:r w:rsidR="00946D2D" w:rsidRPr="002D5306">
        <w:rPr>
          <w:rFonts w:eastAsia="Calibri"/>
          <w:b/>
        </w:rPr>
        <w:t>”</w:t>
      </w:r>
      <w:bookmarkEnd w:id="5"/>
    </w:p>
    <w:p w14:paraId="5C555F00" w14:textId="31B2F8AF" w:rsidR="00F85C46" w:rsidRPr="005A39C3" w:rsidRDefault="00F85C46" w:rsidP="00BC1468">
      <w:pPr>
        <w:pStyle w:val="Nagwek3"/>
        <w:numPr>
          <w:ilvl w:val="0"/>
          <w:numId w:val="45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E81D74" w:rsidRPr="005A39C3">
        <w:rPr>
          <w:b/>
        </w:rPr>
        <w:t>DZP.38</w:t>
      </w:r>
      <w:r w:rsidR="001F5933">
        <w:rPr>
          <w:b/>
        </w:rPr>
        <w:t>2.4.2</w:t>
      </w:r>
      <w:r w:rsidR="001B54E2">
        <w:rPr>
          <w:b/>
        </w:rPr>
        <w:t>4</w:t>
      </w:r>
      <w:r w:rsidR="001F5933">
        <w:rPr>
          <w:b/>
        </w:rPr>
        <w:t>.202</w:t>
      </w:r>
      <w:r w:rsidR="001B54E2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66169486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D92A6D">
      <w:pPr>
        <w:pStyle w:val="Nagwek2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4142C6AC" w14:textId="12594F74" w:rsidR="002D5306" w:rsidRPr="0070644B" w:rsidRDefault="002D5306" w:rsidP="002D5306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cs="Arial"/>
          <w:bCs/>
          <w:lang w:val="x-none" w:eastAsia="pl-PL"/>
        </w:rPr>
      </w:pPr>
      <w:r w:rsidRPr="0046111A">
        <w:rPr>
          <w:rFonts w:cs="Arial"/>
          <w:bCs/>
          <w:szCs w:val="20"/>
          <w:lang w:eastAsia="pl-PL"/>
        </w:rPr>
        <w:t>Przedmiotem</w:t>
      </w:r>
      <w:r w:rsidRPr="0046111A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6111A">
        <w:rPr>
          <w:rFonts w:cs="Arial"/>
          <w:bCs/>
          <w:szCs w:val="20"/>
          <w:lang w:eastAsia="pl-PL"/>
        </w:rPr>
        <w:t>zamówienia jest</w:t>
      </w:r>
      <w:r w:rsidRPr="0046111A">
        <w:rPr>
          <w:rFonts w:cs="Arial"/>
          <w:b/>
          <w:bCs/>
          <w:szCs w:val="20"/>
          <w:lang w:eastAsia="pl-PL"/>
        </w:rPr>
        <w:t xml:space="preserve"> </w:t>
      </w:r>
      <w:r>
        <w:rPr>
          <w:rFonts w:cs="Arial"/>
          <w:b/>
          <w:bCs/>
          <w:szCs w:val="20"/>
          <w:lang w:eastAsia="pl-PL"/>
        </w:rPr>
        <w:t xml:space="preserve">usługa </w:t>
      </w:r>
      <w:r w:rsidRPr="00693548">
        <w:rPr>
          <w:rFonts w:eastAsia="Times New Roman" w:cs="Arial"/>
          <w:b/>
          <w:bCs/>
          <w:szCs w:val="20"/>
          <w:lang w:eastAsia="pl-PL"/>
        </w:rPr>
        <w:t xml:space="preserve">dostępu do wybranych zasobów wydawnictwa </w:t>
      </w:r>
      <w:proofErr w:type="spellStart"/>
      <w:r w:rsidRPr="00693548">
        <w:rPr>
          <w:rFonts w:eastAsia="Times New Roman" w:cs="Arial"/>
          <w:b/>
          <w:bCs/>
          <w:szCs w:val="20"/>
          <w:lang w:eastAsia="pl-PL"/>
        </w:rPr>
        <w:t>Elsevier</w:t>
      </w:r>
      <w:proofErr w:type="spellEnd"/>
      <w:r w:rsidRPr="00693548">
        <w:rPr>
          <w:rFonts w:eastAsia="Times New Roman" w:cs="Arial"/>
          <w:b/>
          <w:bCs/>
          <w:szCs w:val="20"/>
          <w:lang w:eastAsia="pl-PL"/>
        </w:rPr>
        <w:t xml:space="preserve"> w wersji online w okresie </w:t>
      </w:r>
      <w:r>
        <w:rPr>
          <w:rFonts w:eastAsia="Times New Roman" w:cs="Arial"/>
          <w:b/>
          <w:bCs/>
          <w:szCs w:val="20"/>
          <w:lang w:eastAsia="pl-PL"/>
        </w:rPr>
        <w:t xml:space="preserve">od dnia </w:t>
      </w:r>
      <w:r w:rsidRPr="00693548">
        <w:rPr>
          <w:rFonts w:eastAsia="Times New Roman" w:cs="Arial"/>
          <w:b/>
          <w:bCs/>
          <w:szCs w:val="20"/>
          <w:lang w:eastAsia="pl-PL"/>
        </w:rPr>
        <w:t>01.01.202</w:t>
      </w:r>
      <w:r w:rsidR="001B54E2">
        <w:rPr>
          <w:rFonts w:eastAsia="Times New Roman" w:cs="Arial"/>
          <w:b/>
          <w:bCs/>
          <w:szCs w:val="20"/>
          <w:lang w:eastAsia="pl-PL"/>
        </w:rPr>
        <w:t>5</w:t>
      </w:r>
      <w:r>
        <w:rPr>
          <w:rFonts w:eastAsia="Times New Roman" w:cs="Arial"/>
          <w:b/>
          <w:bCs/>
          <w:szCs w:val="20"/>
          <w:lang w:eastAsia="pl-PL"/>
        </w:rPr>
        <w:t xml:space="preserve"> </w:t>
      </w:r>
      <w:r w:rsidRPr="00693548">
        <w:rPr>
          <w:rFonts w:eastAsia="Times New Roman" w:cs="Arial"/>
          <w:b/>
          <w:bCs/>
          <w:szCs w:val="20"/>
          <w:lang w:eastAsia="pl-PL"/>
        </w:rPr>
        <w:t>r. do 31.12.202</w:t>
      </w:r>
      <w:r w:rsidR="001B54E2">
        <w:rPr>
          <w:rFonts w:eastAsia="Times New Roman" w:cs="Arial"/>
          <w:b/>
          <w:bCs/>
          <w:szCs w:val="20"/>
          <w:lang w:eastAsia="pl-PL"/>
        </w:rPr>
        <w:t>5</w:t>
      </w:r>
      <w:r>
        <w:rPr>
          <w:rFonts w:eastAsia="Times New Roman" w:cs="Arial"/>
          <w:b/>
          <w:bCs/>
          <w:szCs w:val="20"/>
          <w:lang w:eastAsia="pl-PL"/>
        </w:rPr>
        <w:t xml:space="preserve"> </w:t>
      </w:r>
      <w:r w:rsidRPr="00693548">
        <w:rPr>
          <w:rFonts w:eastAsia="Times New Roman" w:cs="Arial"/>
          <w:b/>
          <w:bCs/>
          <w:szCs w:val="20"/>
          <w:lang w:eastAsia="pl-PL"/>
        </w:rPr>
        <w:t xml:space="preserve">r., </w:t>
      </w:r>
      <w:r w:rsidRPr="00693548">
        <w:rPr>
          <w:rFonts w:eastAsia="Times New Roman" w:cs="Arial"/>
          <w:bCs/>
          <w:szCs w:val="20"/>
          <w:lang w:eastAsia="pl-PL"/>
        </w:rPr>
        <w:t xml:space="preserve">bezpośrednio ze stacji roboczych i serwerów oraz poprzez HAN – </w:t>
      </w:r>
      <w:proofErr w:type="spellStart"/>
      <w:r w:rsidRPr="00693548">
        <w:rPr>
          <w:rFonts w:eastAsia="Times New Roman" w:cs="Arial"/>
          <w:bCs/>
          <w:szCs w:val="20"/>
          <w:lang w:eastAsia="pl-PL"/>
        </w:rPr>
        <w:t>Hidden</w:t>
      </w:r>
      <w:proofErr w:type="spellEnd"/>
      <w:r w:rsidRPr="00693548">
        <w:rPr>
          <w:rFonts w:eastAsia="Times New Roman" w:cs="Arial"/>
          <w:bCs/>
          <w:szCs w:val="20"/>
          <w:lang w:eastAsia="pl-PL"/>
        </w:rPr>
        <w:t xml:space="preserve"> Automatic </w:t>
      </w:r>
      <w:proofErr w:type="spellStart"/>
      <w:r w:rsidRPr="00693548">
        <w:rPr>
          <w:rFonts w:eastAsia="Times New Roman" w:cs="Arial"/>
          <w:bCs/>
          <w:szCs w:val="20"/>
          <w:lang w:eastAsia="pl-PL"/>
        </w:rPr>
        <w:t>Navigator</w:t>
      </w:r>
      <w:proofErr w:type="spellEnd"/>
      <w:r w:rsidRPr="00693548">
        <w:rPr>
          <w:rFonts w:eastAsia="Times New Roman" w:cs="Arial"/>
          <w:bCs/>
          <w:szCs w:val="20"/>
          <w:lang w:eastAsia="pl-PL"/>
        </w:rPr>
        <w:t xml:space="preserve"> (H+H Software GmbH). Wykonawca zapewni identyfikowanie na serwerze wydawnictwa (</w:t>
      </w:r>
      <w:proofErr w:type="spellStart"/>
      <w:r w:rsidRPr="00693548">
        <w:rPr>
          <w:rFonts w:eastAsia="Times New Roman" w:cs="Arial"/>
          <w:bCs/>
          <w:szCs w:val="20"/>
          <w:lang w:eastAsia="pl-PL"/>
        </w:rPr>
        <w:t>Elsevier</w:t>
      </w:r>
      <w:proofErr w:type="spellEnd"/>
      <w:r w:rsidRPr="00693548">
        <w:rPr>
          <w:rFonts w:eastAsia="Times New Roman" w:cs="Arial"/>
          <w:bCs/>
          <w:szCs w:val="20"/>
          <w:lang w:eastAsia="pl-PL"/>
        </w:rPr>
        <w:t>), Uniwersytetu Śląskiego jako oddzielnego użytkownika. Kryterium identyfikacji będą adresy IP Uniwersytetu Śląskiego w Katowicach (w tym Centrum Informacji Naukowej i Biblioteka Akademicka w Katowicach): IP: 155.158.0.0 maska: 255.255.0.0 (155.158.0.0/16).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Pr="0070644B">
        <w:rPr>
          <w:rFonts w:cs="Arial"/>
          <w:bCs/>
          <w:lang w:val="x-none" w:eastAsia="pl-PL"/>
        </w:rPr>
        <w:t xml:space="preserve">Dostęp do ww. wydawnictw przysługuje maksymalnej liczbie jednoczesnych użytkowników jaką określa wydawca, bezpośrednio ze stacji roboczych i serwerów oraz poprzez HAN – </w:t>
      </w:r>
      <w:proofErr w:type="spellStart"/>
      <w:r w:rsidRPr="0070644B">
        <w:rPr>
          <w:rFonts w:cs="Arial"/>
          <w:bCs/>
          <w:lang w:val="x-none" w:eastAsia="pl-PL"/>
        </w:rPr>
        <w:t>Hidden</w:t>
      </w:r>
      <w:proofErr w:type="spellEnd"/>
      <w:r w:rsidRPr="0070644B">
        <w:rPr>
          <w:rFonts w:cs="Arial"/>
          <w:bCs/>
          <w:lang w:val="x-none" w:eastAsia="pl-PL"/>
        </w:rPr>
        <w:t xml:space="preserve"> Automatic </w:t>
      </w:r>
      <w:proofErr w:type="spellStart"/>
      <w:r w:rsidRPr="0070644B">
        <w:rPr>
          <w:rFonts w:cs="Arial"/>
          <w:bCs/>
          <w:lang w:val="x-none" w:eastAsia="pl-PL"/>
        </w:rPr>
        <w:t>Navigator</w:t>
      </w:r>
      <w:proofErr w:type="spellEnd"/>
      <w:r w:rsidRPr="0070644B">
        <w:rPr>
          <w:rFonts w:cs="Arial"/>
          <w:bCs/>
          <w:lang w:val="x-none" w:eastAsia="pl-PL"/>
        </w:rPr>
        <w:t xml:space="preserve"> (H+H Software GmbH). FTE UŚ wynosi </w:t>
      </w:r>
      <w:r w:rsidR="001B54E2">
        <w:rPr>
          <w:rFonts w:cs="Arial"/>
          <w:bCs/>
          <w:lang w:eastAsia="pl-PL"/>
        </w:rPr>
        <w:t>21382</w:t>
      </w:r>
      <w:r>
        <w:rPr>
          <w:rFonts w:cs="Arial"/>
          <w:bCs/>
          <w:lang w:eastAsia="pl-PL"/>
        </w:rPr>
        <w:t>.</w:t>
      </w:r>
      <w:r w:rsidRPr="0070644B">
        <w:rPr>
          <w:rFonts w:cs="Arial"/>
          <w:bCs/>
          <w:lang w:val="x-none" w:eastAsia="pl-PL"/>
        </w:rPr>
        <w:t xml:space="preserve"> </w:t>
      </w:r>
    </w:p>
    <w:p w14:paraId="39CC8123" w14:textId="4986BC08" w:rsidR="002D5306" w:rsidRPr="0070644B" w:rsidRDefault="002D5306" w:rsidP="002D5306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Cs/>
          <w:szCs w:val="20"/>
        </w:rPr>
      </w:pPr>
      <w:r w:rsidRPr="0046111A">
        <w:rPr>
          <w:rFonts w:eastAsia="Calibri" w:cs="Arial"/>
          <w:bCs/>
          <w:szCs w:val="20"/>
        </w:rPr>
        <w:lastRenderedPageBreak/>
        <w:t xml:space="preserve">Zakres zamówienia obejmuje </w:t>
      </w:r>
      <w:r>
        <w:rPr>
          <w:rFonts w:eastAsia="Calibri" w:cs="Arial"/>
          <w:bCs/>
          <w:szCs w:val="20"/>
        </w:rPr>
        <w:t>dostęp do 6</w:t>
      </w:r>
      <w:r w:rsidRPr="00693548">
        <w:rPr>
          <w:rFonts w:eastAsia="Calibri" w:cs="Arial"/>
          <w:bCs/>
          <w:szCs w:val="20"/>
        </w:rPr>
        <w:t xml:space="preserve"> publikacji przez platformę </w:t>
      </w:r>
      <w:proofErr w:type="spellStart"/>
      <w:r w:rsidRPr="00693548">
        <w:rPr>
          <w:rFonts w:eastAsia="Calibri" w:cs="Arial"/>
          <w:bCs/>
          <w:szCs w:val="20"/>
        </w:rPr>
        <w:t>Sci</w:t>
      </w:r>
      <w:r>
        <w:rPr>
          <w:rFonts w:eastAsia="Calibri" w:cs="Arial"/>
          <w:bCs/>
          <w:szCs w:val="20"/>
        </w:rPr>
        <w:t>enceDirect</w:t>
      </w:r>
      <w:proofErr w:type="spellEnd"/>
      <w:r>
        <w:rPr>
          <w:rFonts w:eastAsia="Calibri" w:cs="Arial"/>
          <w:bCs/>
          <w:szCs w:val="20"/>
        </w:rPr>
        <w:t xml:space="preserve"> wydawnictwa </w:t>
      </w:r>
      <w:proofErr w:type="spellStart"/>
      <w:r>
        <w:rPr>
          <w:rFonts w:eastAsia="Calibri" w:cs="Arial"/>
          <w:bCs/>
          <w:szCs w:val="20"/>
        </w:rPr>
        <w:t>Elsevier</w:t>
      </w:r>
      <w:proofErr w:type="spellEnd"/>
      <w:r>
        <w:rPr>
          <w:rFonts w:eastAsia="Calibri" w:cs="Arial"/>
          <w:bCs/>
          <w:szCs w:val="20"/>
        </w:rPr>
        <w:t xml:space="preserve">. Przedmiot zamówienia obejmuje </w:t>
      </w:r>
      <w:r w:rsidRPr="0070644B">
        <w:rPr>
          <w:rFonts w:eastAsia="Calibri" w:cs="Arial"/>
          <w:bCs/>
          <w:szCs w:val="20"/>
        </w:rPr>
        <w:t>dostęp do tylu wydawnictw (z poniższej listy), ile w okresie trwania umowy, czyli od 01.01.202</w:t>
      </w:r>
      <w:r w:rsidR="001B54E2">
        <w:rPr>
          <w:rFonts w:eastAsia="Calibri" w:cs="Arial"/>
          <w:bCs/>
          <w:szCs w:val="20"/>
        </w:rPr>
        <w:t>5</w:t>
      </w:r>
      <w:r>
        <w:rPr>
          <w:rFonts w:eastAsia="Calibri" w:cs="Arial"/>
          <w:bCs/>
          <w:szCs w:val="20"/>
        </w:rPr>
        <w:t xml:space="preserve"> r.</w:t>
      </w:r>
      <w:r w:rsidRPr="0070644B">
        <w:rPr>
          <w:rFonts w:eastAsia="Calibri" w:cs="Arial"/>
          <w:bCs/>
          <w:szCs w:val="20"/>
        </w:rPr>
        <w:t xml:space="preserve"> od 31.12.202</w:t>
      </w:r>
      <w:r w:rsidR="001B54E2">
        <w:rPr>
          <w:rFonts w:eastAsia="Calibri" w:cs="Arial"/>
          <w:bCs/>
          <w:szCs w:val="20"/>
        </w:rPr>
        <w:t>5</w:t>
      </w:r>
      <w:r>
        <w:rPr>
          <w:rFonts w:eastAsia="Calibri" w:cs="Arial"/>
          <w:bCs/>
          <w:szCs w:val="20"/>
        </w:rPr>
        <w:t xml:space="preserve"> r. </w:t>
      </w:r>
      <w:r w:rsidRPr="0070644B">
        <w:rPr>
          <w:rFonts w:eastAsia="Calibri" w:cs="Arial"/>
          <w:bCs/>
          <w:szCs w:val="20"/>
        </w:rPr>
        <w:t xml:space="preserve"> ukazało się, uwzględniając wszystkie wydawnictwa datowane na ten okres niezależnie od daty ich wydania. Dostęp przez platformę </w:t>
      </w:r>
      <w:proofErr w:type="spellStart"/>
      <w:r w:rsidRPr="0070644B">
        <w:rPr>
          <w:rFonts w:eastAsia="Calibri" w:cs="Arial"/>
          <w:bCs/>
          <w:szCs w:val="20"/>
        </w:rPr>
        <w:t>ScienceDirect</w:t>
      </w:r>
      <w:proofErr w:type="spellEnd"/>
      <w:r w:rsidRPr="0070644B">
        <w:rPr>
          <w:rFonts w:eastAsia="Calibri" w:cs="Arial"/>
          <w:bCs/>
          <w:szCs w:val="20"/>
        </w:rPr>
        <w:t xml:space="preserve"> wydawnictwa </w:t>
      </w:r>
      <w:proofErr w:type="spellStart"/>
      <w:r w:rsidRPr="0070644B">
        <w:rPr>
          <w:rFonts w:eastAsia="Calibri" w:cs="Arial"/>
          <w:bCs/>
          <w:szCs w:val="20"/>
        </w:rPr>
        <w:t>Elsevier</w:t>
      </w:r>
      <w:proofErr w:type="spellEnd"/>
      <w:r w:rsidRPr="0070644B">
        <w:rPr>
          <w:rFonts w:eastAsia="Calibri" w:cs="Arial"/>
          <w:bCs/>
          <w:szCs w:val="20"/>
        </w:rPr>
        <w:t>.</w:t>
      </w:r>
    </w:p>
    <w:tbl>
      <w:tblPr>
        <w:tblW w:w="8788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4313"/>
        <w:gridCol w:w="1701"/>
        <w:gridCol w:w="1984"/>
      </w:tblGrid>
      <w:tr w:rsidR="002D5306" w:rsidRPr="00693548" w14:paraId="0FA31634" w14:textId="77777777" w:rsidTr="002D5306">
        <w:trPr>
          <w:trHeight w:val="255"/>
        </w:trPr>
        <w:tc>
          <w:tcPr>
            <w:tcW w:w="790" w:type="dxa"/>
            <w:shd w:val="clear" w:color="auto" w:fill="auto"/>
          </w:tcPr>
          <w:p w14:paraId="7582EE95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b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b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313" w:type="dxa"/>
            <w:shd w:val="clear" w:color="auto" w:fill="auto"/>
            <w:noWrap/>
            <w:vAlign w:val="center"/>
          </w:tcPr>
          <w:p w14:paraId="3B07C649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b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b/>
                <w:color w:val="000000"/>
                <w:szCs w:val="20"/>
                <w:lang w:eastAsia="pl-PL"/>
              </w:rPr>
              <w:t>Tytuł</w:t>
            </w:r>
          </w:p>
        </w:tc>
        <w:tc>
          <w:tcPr>
            <w:tcW w:w="1701" w:type="dxa"/>
            <w:shd w:val="clear" w:color="auto" w:fill="auto"/>
          </w:tcPr>
          <w:p w14:paraId="344EB79C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b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b/>
                <w:color w:val="000000"/>
                <w:szCs w:val="20"/>
                <w:lang w:eastAsia="pl-PL"/>
              </w:rPr>
              <w:t>format</w:t>
            </w:r>
          </w:p>
        </w:tc>
        <w:tc>
          <w:tcPr>
            <w:tcW w:w="1984" w:type="dxa"/>
            <w:shd w:val="clear" w:color="auto" w:fill="auto"/>
          </w:tcPr>
          <w:p w14:paraId="4AE6B463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b/>
                <w:color w:val="00000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Cs w:val="20"/>
                <w:lang w:eastAsia="pl-PL"/>
              </w:rPr>
              <w:t>ISSN</w:t>
            </w:r>
          </w:p>
        </w:tc>
      </w:tr>
      <w:tr w:rsidR="002D5306" w:rsidRPr="00693548" w14:paraId="58F3599C" w14:textId="77777777" w:rsidTr="002D5306">
        <w:trPr>
          <w:trHeight w:val="255"/>
        </w:trPr>
        <w:tc>
          <w:tcPr>
            <w:tcW w:w="790" w:type="dxa"/>
            <w:shd w:val="clear" w:color="auto" w:fill="auto"/>
            <w:hideMark/>
          </w:tcPr>
          <w:p w14:paraId="7E97935E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4313" w:type="dxa"/>
            <w:shd w:val="clear" w:color="auto" w:fill="auto"/>
            <w:noWrap/>
          </w:tcPr>
          <w:p w14:paraId="17FD6C1F" w14:textId="09536447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Geochimica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et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Cosmochimica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Acta</w:t>
            </w:r>
          </w:p>
        </w:tc>
        <w:tc>
          <w:tcPr>
            <w:tcW w:w="1701" w:type="dxa"/>
            <w:shd w:val="clear" w:color="auto" w:fill="auto"/>
            <w:hideMark/>
          </w:tcPr>
          <w:p w14:paraId="7029952F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color w:val="000000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hideMark/>
          </w:tcPr>
          <w:p w14:paraId="064D278F" w14:textId="72653725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0016-7037</w:t>
            </w:r>
          </w:p>
        </w:tc>
      </w:tr>
      <w:tr w:rsidR="002D5306" w:rsidRPr="00693548" w14:paraId="481DC173" w14:textId="77777777" w:rsidTr="002D5306">
        <w:trPr>
          <w:trHeight w:val="255"/>
        </w:trPr>
        <w:tc>
          <w:tcPr>
            <w:tcW w:w="790" w:type="dxa"/>
            <w:shd w:val="clear" w:color="auto" w:fill="auto"/>
            <w:hideMark/>
          </w:tcPr>
          <w:p w14:paraId="0AC1AC83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4313" w:type="dxa"/>
            <w:shd w:val="clear" w:color="auto" w:fill="auto"/>
          </w:tcPr>
          <w:p w14:paraId="4303D436" w14:textId="5F3AA426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Geomorphology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04F1056B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color w:val="000000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hideMark/>
          </w:tcPr>
          <w:p w14:paraId="2D699FA1" w14:textId="44B423D4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0169-555X</w:t>
            </w:r>
          </w:p>
        </w:tc>
      </w:tr>
      <w:tr w:rsidR="002D5306" w:rsidRPr="00693548" w14:paraId="08FE5721" w14:textId="77777777" w:rsidTr="002D5306">
        <w:trPr>
          <w:trHeight w:val="300"/>
        </w:trPr>
        <w:tc>
          <w:tcPr>
            <w:tcW w:w="790" w:type="dxa"/>
            <w:shd w:val="clear" w:color="auto" w:fill="auto"/>
            <w:hideMark/>
          </w:tcPr>
          <w:p w14:paraId="38932A13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szCs w:val="20"/>
                <w:lang w:eastAsia="pl-PL"/>
              </w:rPr>
              <w:t>3</w:t>
            </w:r>
          </w:p>
        </w:tc>
        <w:tc>
          <w:tcPr>
            <w:tcW w:w="4313" w:type="dxa"/>
            <w:shd w:val="clear" w:color="auto" w:fill="auto"/>
            <w:noWrap/>
          </w:tcPr>
          <w:p w14:paraId="00C1F7D1" w14:textId="67B83406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 xml:space="preserve">International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Journal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of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Coal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Geology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2C4CC965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8D6F193" w14:textId="28D804CE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0166-5162</w:t>
            </w:r>
          </w:p>
        </w:tc>
      </w:tr>
      <w:tr w:rsidR="002D5306" w:rsidRPr="00693548" w14:paraId="76C47BD4" w14:textId="77777777" w:rsidTr="002D5306">
        <w:trPr>
          <w:trHeight w:val="255"/>
        </w:trPr>
        <w:tc>
          <w:tcPr>
            <w:tcW w:w="790" w:type="dxa"/>
            <w:shd w:val="clear" w:color="auto" w:fill="auto"/>
            <w:hideMark/>
          </w:tcPr>
          <w:p w14:paraId="20614A18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4313" w:type="dxa"/>
            <w:shd w:val="clear" w:color="auto" w:fill="auto"/>
          </w:tcPr>
          <w:p w14:paraId="4F644649" w14:textId="20B0AB70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Palaeogeography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,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Palaeoclimatology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,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Palaeoecology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54E92C42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color w:val="000000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hideMark/>
          </w:tcPr>
          <w:p w14:paraId="1053B7F2" w14:textId="7F3E2225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0031-0182</w:t>
            </w:r>
          </w:p>
        </w:tc>
      </w:tr>
      <w:tr w:rsidR="002D5306" w:rsidRPr="00693548" w14:paraId="49CEA3AF" w14:textId="77777777" w:rsidTr="002D5306">
        <w:trPr>
          <w:trHeight w:val="255"/>
        </w:trPr>
        <w:tc>
          <w:tcPr>
            <w:tcW w:w="790" w:type="dxa"/>
            <w:shd w:val="clear" w:color="auto" w:fill="auto"/>
            <w:hideMark/>
          </w:tcPr>
          <w:p w14:paraId="6ACF67B4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4313" w:type="dxa"/>
            <w:shd w:val="clear" w:color="auto" w:fill="auto"/>
          </w:tcPr>
          <w:p w14:paraId="31CA4F9D" w14:textId="34ADB8B0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proofErr w:type="spellStart"/>
            <w:r w:rsidRPr="002D5306">
              <w:rPr>
                <w:rFonts w:cs="Calibri"/>
                <w:color w:val="000000"/>
                <w:szCs w:val="20"/>
              </w:rPr>
              <w:t>Review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of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Palaeobotany</w:t>
            </w:r>
            <w:proofErr w:type="spellEnd"/>
            <w:r w:rsidRPr="002D5306">
              <w:rPr>
                <w:rFonts w:cs="Calibri"/>
                <w:color w:val="000000"/>
                <w:szCs w:val="20"/>
              </w:rPr>
              <w:t xml:space="preserve"> and </w:t>
            </w:r>
            <w:proofErr w:type="spellStart"/>
            <w:r w:rsidRPr="002D5306">
              <w:rPr>
                <w:rFonts w:cs="Calibri"/>
                <w:color w:val="000000"/>
                <w:szCs w:val="20"/>
              </w:rPr>
              <w:t>Palynology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395D112D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color w:val="000000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hideMark/>
          </w:tcPr>
          <w:p w14:paraId="4268CEB4" w14:textId="5846DE18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0034-6667</w:t>
            </w:r>
          </w:p>
        </w:tc>
      </w:tr>
      <w:tr w:rsidR="002D5306" w:rsidRPr="00693548" w14:paraId="09809D8E" w14:textId="77777777" w:rsidTr="002D5306">
        <w:trPr>
          <w:trHeight w:val="255"/>
        </w:trPr>
        <w:tc>
          <w:tcPr>
            <w:tcW w:w="790" w:type="dxa"/>
            <w:shd w:val="clear" w:color="auto" w:fill="auto"/>
            <w:hideMark/>
          </w:tcPr>
          <w:p w14:paraId="176A57AE" w14:textId="77777777" w:rsidR="002D5306" w:rsidRPr="00693548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693548">
              <w:rPr>
                <w:rFonts w:eastAsia="Times New Roman" w:cs="Calibri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4313" w:type="dxa"/>
            <w:shd w:val="clear" w:color="auto" w:fill="auto"/>
          </w:tcPr>
          <w:p w14:paraId="65B25F49" w14:textId="0792F8FB" w:rsidR="002D5306" w:rsidRPr="002D5306" w:rsidRDefault="002D5306" w:rsidP="002D5306">
            <w:pPr>
              <w:spacing w:line="240" w:lineRule="auto"/>
              <w:ind w:left="0" w:firstLine="0"/>
              <w:jc w:val="left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Science of the Total Environment</w:t>
            </w:r>
          </w:p>
        </w:tc>
        <w:tc>
          <w:tcPr>
            <w:tcW w:w="1701" w:type="dxa"/>
            <w:shd w:val="clear" w:color="auto" w:fill="auto"/>
            <w:hideMark/>
          </w:tcPr>
          <w:p w14:paraId="06FE72C0" w14:textId="77777777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eastAsia="Times New Roman" w:cs="Calibri"/>
                <w:color w:val="000000"/>
                <w:szCs w:val="20"/>
                <w:lang w:eastAsia="pl-PL"/>
              </w:rPr>
              <w:t>online</w:t>
            </w:r>
          </w:p>
        </w:tc>
        <w:tc>
          <w:tcPr>
            <w:tcW w:w="1984" w:type="dxa"/>
            <w:shd w:val="clear" w:color="auto" w:fill="auto"/>
            <w:hideMark/>
          </w:tcPr>
          <w:p w14:paraId="6A84F38F" w14:textId="24895803" w:rsidR="002D5306" w:rsidRPr="002D5306" w:rsidRDefault="002D5306" w:rsidP="002D5306">
            <w:pPr>
              <w:spacing w:line="240" w:lineRule="auto"/>
              <w:ind w:left="0" w:firstLine="0"/>
              <w:jc w:val="center"/>
              <w:rPr>
                <w:rFonts w:eastAsia="Times New Roman" w:cs="Calibri"/>
                <w:color w:val="000000"/>
                <w:szCs w:val="20"/>
                <w:lang w:eastAsia="pl-PL"/>
              </w:rPr>
            </w:pPr>
            <w:r w:rsidRPr="002D5306">
              <w:rPr>
                <w:rFonts w:cs="Calibri"/>
                <w:color w:val="000000"/>
                <w:szCs w:val="20"/>
              </w:rPr>
              <w:t>0048-9697</w:t>
            </w:r>
          </w:p>
        </w:tc>
      </w:tr>
    </w:tbl>
    <w:p w14:paraId="4395B670" w14:textId="7F3DD3BA" w:rsidR="00404C44" w:rsidRPr="00242757" w:rsidRDefault="0055317F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/>
          <w:bCs/>
          <w:color w:val="222A35" w:themeColor="text2" w:themeShade="80"/>
          <w:szCs w:val="20"/>
        </w:rPr>
      </w:pPr>
      <w:r w:rsidRPr="00D92A6D">
        <w:rPr>
          <w:rFonts w:eastAsia="Calibri" w:cs="Times New Roman"/>
          <w:b/>
          <w:bCs/>
          <w:szCs w:val="26"/>
          <w:lang w:eastAsia="x-none"/>
        </w:rPr>
        <w:t>Rodzaj</w:t>
      </w:r>
      <w:r w:rsidRPr="00242757">
        <w:rPr>
          <w:rFonts w:eastAsia="Calibri" w:cs="Arial"/>
          <w:b/>
          <w:bCs/>
          <w:color w:val="222A35" w:themeColor="text2" w:themeShade="80"/>
          <w:szCs w:val="20"/>
        </w:rPr>
        <w:t xml:space="preserve"> zamówienia: </w:t>
      </w:r>
      <w:r w:rsidR="00946D2D" w:rsidRPr="00242757">
        <w:rPr>
          <w:rFonts w:eastAsia="Calibri" w:cs="Arial"/>
          <w:b/>
          <w:bCs/>
          <w:color w:val="222A35" w:themeColor="text2" w:themeShade="80"/>
          <w:szCs w:val="20"/>
        </w:rPr>
        <w:t>usługa</w:t>
      </w:r>
      <w:r w:rsidRPr="00242757">
        <w:rPr>
          <w:rFonts w:eastAsia="Calibri" w:cs="Arial"/>
          <w:b/>
          <w:bCs/>
          <w:color w:val="222A35" w:themeColor="text2" w:themeShade="80"/>
          <w:szCs w:val="20"/>
        </w:rPr>
        <w:t>;</w:t>
      </w:r>
    </w:p>
    <w:p w14:paraId="2A3F7687" w14:textId="699C58E9" w:rsidR="00404C44" w:rsidRPr="009F21F0" w:rsidRDefault="00404C44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D92A6D">
        <w:rPr>
          <w:rFonts w:eastAsia="Calibri" w:cs="Times New Roman"/>
          <w:b/>
          <w:bCs/>
          <w:szCs w:val="26"/>
          <w:lang w:eastAsia="x-none"/>
        </w:rPr>
        <w:t>Nazwy</w:t>
      </w:r>
      <w:r w:rsidRPr="009F21F0">
        <w:rPr>
          <w:rFonts w:eastAsia="Calibri" w:cs="Arial"/>
          <w:bCs/>
          <w:color w:val="000000" w:themeColor="text1"/>
          <w:szCs w:val="20"/>
        </w:rPr>
        <w:t xml:space="preserve"> i kody dotyczące przedmiotu zamówienia zgodnie z nomenklaturą określoną we Wspólnym Słowniku Zamówień (CPV): </w:t>
      </w:r>
    </w:p>
    <w:p w14:paraId="53465593" w14:textId="77777777" w:rsidR="00946D2D" w:rsidRPr="00946D2D" w:rsidRDefault="00946D2D" w:rsidP="00946D2D">
      <w:pPr>
        <w:keepNext/>
        <w:spacing w:before="60" w:after="60" w:line="324" w:lineRule="auto"/>
        <w:ind w:firstLine="0"/>
        <w:contextualSpacing/>
        <w:outlineLvl w:val="1"/>
        <w:rPr>
          <w:rFonts w:cs="Arial"/>
          <w:bCs/>
          <w:color w:val="000000" w:themeColor="text1"/>
          <w:szCs w:val="20"/>
          <w:lang w:eastAsia="pl-PL"/>
        </w:rPr>
      </w:pPr>
      <w:r w:rsidRPr="00946D2D">
        <w:rPr>
          <w:rFonts w:cs="Arial"/>
          <w:bCs/>
          <w:color w:val="000000" w:themeColor="text1"/>
          <w:szCs w:val="20"/>
          <w:lang w:eastAsia="pl-PL"/>
        </w:rPr>
        <w:t>72.32.00.00- 4 – Usługi bazy danych</w:t>
      </w:r>
    </w:p>
    <w:p w14:paraId="276985F9" w14:textId="5ACF3BF5" w:rsidR="00170642" w:rsidRPr="00C14A8D" w:rsidRDefault="00170642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1C49422B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24854E9F" w14:textId="52D882C1" w:rsidR="00FB3F58" w:rsidRPr="00382315" w:rsidRDefault="00FB3F58" w:rsidP="00D92A6D">
      <w:pPr>
        <w:pStyle w:val="Nagwek2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7DA9EE0C" w14:textId="77777777" w:rsidR="002D5306" w:rsidRDefault="002D5306" w:rsidP="002D5306">
      <w:pPr>
        <w:pStyle w:val="Nagwek3"/>
        <w:numPr>
          <w:ilvl w:val="0"/>
          <w:numId w:val="12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</w:t>
      </w:r>
      <w:r>
        <w:rPr>
          <w:rFonts w:eastAsia="Calibri"/>
        </w:rPr>
        <w:t>puszcza możliwości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Przedmiotowe zamówienie jest częścią większego zamówienia udzielanego w częściach w skali roku. Jeżeli chodzi o przyczyny braku podziału zamówienia na części, należy wskazać, że przedmiotowe zamówienie jest niepodzielne, obejmuje </w:t>
      </w:r>
      <w:r w:rsidRPr="00636503">
        <w:rPr>
          <w:rFonts w:eastAsia="Calibri"/>
        </w:rPr>
        <w:t xml:space="preserve">dostęp do </w:t>
      </w:r>
      <w:r>
        <w:rPr>
          <w:rFonts w:eastAsia="Calibri"/>
        </w:rPr>
        <w:t>jednego wydawnictwa</w:t>
      </w:r>
      <w:r w:rsidRPr="00636503">
        <w:rPr>
          <w:rFonts w:eastAsia="Calibri"/>
        </w:rPr>
        <w:t xml:space="preserve">  tj.</w:t>
      </w:r>
      <w:r w:rsidRPr="00636503">
        <w:rPr>
          <w:rFonts w:cs="Arial"/>
          <w:szCs w:val="20"/>
          <w:lang w:eastAsia="pl-PL"/>
        </w:rPr>
        <w:t xml:space="preserve">: </w:t>
      </w:r>
      <w:proofErr w:type="spellStart"/>
      <w:r>
        <w:rPr>
          <w:rFonts w:cs="Arial"/>
          <w:szCs w:val="20"/>
          <w:lang w:eastAsia="pl-PL"/>
        </w:rPr>
        <w:t>Elsevier</w:t>
      </w:r>
      <w:proofErr w:type="spellEnd"/>
      <w:r w:rsidRPr="00636503">
        <w:rPr>
          <w:rFonts w:cs="Arial"/>
          <w:szCs w:val="20"/>
          <w:lang w:eastAsia="pl-PL"/>
        </w:rPr>
        <w:t xml:space="preserve">. </w:t>
      </w:r>
      <w:r w:rsidRPr="00636503">
        <w:rPr>
          <w:rFonts w:eastAsia="Calibri"/>
        </w:rPr>
        <w:t>Brak podziału zamówienia na części nie utrudnia również dostępu do zamówienia dla wykonawców z sektora MŚP.</w:t>
      </w:r>
      <w:r>
        <w:rPr>
          <w:rFonts w:eastAsia="Calibri"/>
        </w:rPr>
        <w:t xml:space="preserve"> </w:t>
      </w:r>
    </w:p>
    <w:p w14:paraId="7B1E40E9" w14:textId="77777777" w:rsidR="002D5306" w:rsidRPr="005A39C3" w:rsidRDefault="002D5306" w:rsidP="002D5306">
      <w:pPr>
        <w:pStyle w:val="Nagwek3"/>
        <w:numPr>
          <w:ilvl w:val="0"/>
          <w:numId w:val="12"/>
        </w:numPr>
        <w:ind w:left="851" w:hanging="284"/>
        <w:rPr>
          <w:rFonts w:eastAsia="Calibri"/>
        </w:rPr>
      </w:pPr>
      <w:r w:rsidRPr="005A39C3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5FBD763A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</w:t>
      </w:r>
      <w:r w:rsidR="00177B6F" w:rsidRPr="00177B6F">
        <w:rPr>
          <w:szCs w:val="20"/>
          <w:lang w:eastAsia="x-none"/>
        </w:rPr>
        <w:t xml:space="preserve"> polegającego na powtórzeniu podobnych usług</w:t>
      </w:r>
      <w:r w:rsidR="00177B6F">
        <w:rPr>
          <w:szCs w:val="20"/>
          <w:lang w:eastAsia="x-none"/>
        </w:rPr>
        <w:t xml:space="preserve"> </w:t>
      </w:r>
      <w:r w:rsidRPr="00382315">
        <w:rPr>
          <w:szCs w:val="20"/>
          <w:lang w:eastAsia="x-none"/>
        </w:rPr>
        <w:t xml:space="preserve">w rozumieniu przepisu art. 214 ust. 1 pkt </w:t>
      </w:r>
      <w:r w:rsidR="00177B6F">
        <w:rPr>
          <w:szCs w:val="20"/>
          <w:lang w:eastAsia="x-none"/>
        </w:rPr>
        <w:t>7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273203E4" w:rsidR="000518A0" w:rsidRPr="001E3FB3" w:rsidRDefault="00F0343C" w:rsidP="001E3FB3">
      <w:pPr>
        <w:pStyle w:val="Nagwek2"/>
        <w:ind w:left="567" w:hanging="283"/>
      </w:pPr>
      <w:r w:rsidRPr="00382315">
        <w:t xml:space="preserve">Termin realizacji zamówienia: </w:t>
      </w:r>
    </w:p>
    <w:p w14:paraId="25EFC1CE" w14:textId="1BD76825" w:rsidR="00977411" w:rsidRPr="00977411" w:rsidRDefault="00977411" w:rsidP="00BC1468">
      <w:pPr>
        <w:pStyle w:val="Nagwek3"/>
        <w:numPr>
          <w:ilvl w:val="0"/>
          <w:numId w:val="56"/>
        </w:numPr>
        <w:ind w:left="851" w:hanging="284"/>
        <w:rPr>
          <w:rFonts w:cs="Arial"/>
          <w:szCs w:val="20"/>
        </w:rPr>
      </w:pPr>
      <w:r w:rsidRPr="00977411">
        <w:rPr>
          <w:rFonts w:cs="Arial"/>
          <w:szCs w:val="20"/>
        </w:rPr>
        <w:t xml:space="preserve">Dostęp będzie świadczony na zasadzie prenumeraty w okresie </w:t>
      </w:r>
      <w:r w:rsidR="00B01CAB">
        <w:rPr>
          <w:rFonts w:cs="Arial"/>
          <w:szCs w:val="20"/>
        </w:rPr>
        <w:t>od dnia 01.01.202</w:t>
      </w:r>
      <w:r w:rsidR="001B54E2">
        <w:rPr>
          <w:rFonts w:cs="Arial"/>
          <w:szCs w:val="20"/>
        </w:rPr>
        <w:t>5</w:t>
      </w:r>
      <w:r w:rsidR="00B01CAB">
        <w:rPr>
          <w:rFonts w:cs="Arial"/>
          <w:szCs w:val="20"/>
        </w:rPr>
        <w:t xml:space="preserve"> r. do dnia 31.12</w:t>
      </w:r>
      <w:r>
        <w:rPr>
          <w:rFonts w:cs="Arial"/>
          <w:szCs w:val="20"/>
        </w:rPr>
        <w:t>.202</w:t>
      </w:r>
      <w:r w:rsidR="001B54E2">
        <w:rPr>
          <w:rFonts w:cs="Arial"/>
          <w:szCs w:val="20"/>
        </w:rPr>
        <w:t>5</w:t>
      </w:r>
      <w:r w:rsidRPr="00977411">
        <w:rPr>
          <w:rFonts w:cs="Arial"/>
          <w:szCs w:val="20"/>
        </w:rPr>
        <w:t xml:space="preserve"> r.  Czas aktywacji dostępu do </w:t>
      </w:r>
      <w:r w:rsidR="00D92A6D">
        <w:rPr>
          <w:rFonts w:cs="Arial"/>
          <w:szCs w:val="20"/>
        </w:rPr>
        <w:t>bazy nie może być dłuższy niż 5</w:t>
      </w:r>
      <w:r w:rsidRPr="00977411">
        <w:rPr>
          <w:rFonts w:cs="Arial"/>
          <w:szCs w:val="20"/>
        </w:rPr>
        <w:t xml:space="preserve"> dni </w:t>
      </w:r>
      <w:r w:rsidR="00CF5530">
        <w:rPr>
          <w:rFonts w:cs="Arial"/>
          <w:szCs w:val="20"/>
        </w:rPr>
        <w:t xml:space="preserve">roboczych </w:t>
      </w:r>
      <w:r w:rsidRPr="00977411">
        <w:rPr>
          <w:rFonts w:cs="Arial"/>
          <w:szCs w:val="20"/>
        </w:rPr>
        <w:t xml:space="preserve">od daty zawarcia umowy. </w:t>
      </w:r>
    </w:p>
    <w:p w14:paraId="45B1D044" w14:textId="1FCCF6A9" w:rsidR="00242757" w:rsidRPr="00242757" w:rsidRDefault="00242757" w:rsidP="00BC1468">
      <w:pPr>
        <w:pStyle w:val="Nagwek3"/>
        <w:numPr>
          <w:ilvl w:val="0"/>
          <w:numId w:val="56"/>
        </w:numPr>
        <w:ind w:left="851" w:hanging="284"/>
        <w:rPr>
          <w:rFonts w:cs="Arial"/>
          <w:szCs w:val="20"/>
        </w:rPr>
      </w:pPr>
      <w:r w:rsidRPr="00242757">
        <w:rPr>
          <w:rFonts w:eastAsia="Calibri" w:cs="Arial"/>
          <w:szCs w:val="20"/>
          <w:lang w:eastAsia="pl-PL"/>
        </w:rPr>
        <w:t>Czas aktywacji dostępu do bazy – oznacza termin dostarczenia potwierdzenia rejestracji usługi u producenta baz danych.</w:t>
      </w:r>
      <w:r>
        <w:rPr>
          <w:rFonts w:eastAsia="Calibri" w:cs="Arial"/>
          <w:szCs w:val="20"/>
          <w:lang w:eastAsia="pl-PL"/>
        </w:rPr>
        <w:t xml:space="preserve"> </w:t>
      </w:r>
    </w:p>
    <w:p w14:paraId="7BEEE217" w14:textId="43BBE317" w:rsidR="00F85C46" w:rsidRPr="005A39C3" w:rsidRDefault="00F0343C" w:rsidP="00BC1468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F2187E">
        <w:t xml:space="preserve">Wykonawca może skrócić </w:t>
      </w:r>
      <w:r w:rsidR="00242757">
        <w:t>czas aktywacji dostępu do bazy danych</w:t>
      </w:r>
      <w:r w:rsidRPr="00F2187E">
        <w:t xml:space="preserve"> w stosunku do</w:t>
      </w:r>
      <w:r w:rsidR="00B61F3A" w:rsidRPr="00F2187E">
        <w:t xml:space="preserve"> wymaganego</w:t>
      </w:r>
      <w:r w:rsidRPr="00F2187E">
        <w:t xml:space="preserve"> terminu wskazanego powyżej</w:t>
      </w:r>
      <w:r w:rsidR="00B01CAB">
        <w:t xml:space="preserve"> w pkt 1</w:t>
      </w:r>
      <w:r w:rsidR="00AB3F05">
        <w:t>)</w:t>
      </w:r>
      <w:r w:rsidRPr="00F2187E">
        <w:t xml:space="preserve">. Oferta przewidująca skrócenie </w:t>
      </w:r>
      <w:r w:rsidR="00242757">
        <w:t>czasu aktywacji dostępu do bazy danych</w:t>
      </w:r>
      <w:r w:rsidR="00242757" w:rsidRPr="00F2187E">
        <w:t xml:space="preserve"> </w:t>
      </w:r>
      <w:r w:rsidRPr="00F2187E">
        <w:t>otrzyma punkty w ramach oceny</w:t>
      </w:r>
      <w:r w:rsidR="00B61F3A" w:rsidRPr="00F2187E">
        <w:t xml:space="preserve"> ofert z zastosowaniem kryterium</w:t>
      </w:r>
      <w:r w:rsidRPr="00F2187E">
        <w:t xml:space="preserve"> wyboru oferty najkorzystniejszej</w:t>
      </w:r>
      <w:r w:rsidR="00B61F3A" w:rsidRPr="00F2187E">
        <w:t>.</w:t>
      </w:r>
    </w:p>
    <w:p w14:paraId="21F074F7" w14:textId="307B8995" w:rsidR="00F0343C" w:rsidRPr="00382315" w:rsidRDefault="00016F67" w:rsidP="0055317F">
      <w:pPr>
        <w:pStyle w:val="Nagwek2"/>
        <w:ind w:left="567" w:hanging="283"/>
      </w:pPr>
      <w:r>
        <w:t xml:space="preserve">Warunki realizacji zamówienia, </w:t>
      </w:r>
      <w:r w:rsidR="00B61F3A" w:rsidRPr="00382315">
        <w:t xml:space="preserve">warunki płatności. </w:t>
      </w:r>
    </w:p>
    <w:p w14:paraId="7BD9B923" w14:textId="77777777" w:rsidR="0033333B" w:rsidRDefault="00F85C46" w:rsidP="00BC1468">
      <w:pPr>
        <w:pStyle w:val="Nagwek3"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402A8EA5" w14:textId="5845BA52" w:rsidR="00AB3F05" w:rsidRDefault="00F66103" w:rsidP="00AB3F0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eastAsia="pl-PL"/>
        </w:rPr>
      </w:pPr>
      <w:r w:rsidRPr="00F66103">
        <w:rPr>
          <w:rFonts w:eastAsia="Calibri" w:cs="Arial"/>
          <w:szCs w:val="20"/>
          <w:lang w:eastAsia="pl-PL"/>
        </w:rPr>
        <w:t>Zamawiający wymaga dostarczenia potwierdzenia rejestracji usługi na adres e-mail określony w umowie.</w:t>
      </w:r>
    </w:p>
    <w:p w14:paraId="440E065C" w14:textId="0389BB1D" w:rsidR="00F85C46" w:rsidRPr="001400B0" w:rsidRDefault="00F85C46" w:rsidP="00BC1468">
      <w:pPr>
        <w:pStyle w:val="Nagwek3"/>
        <w:numPr>
          <w:ilvl w:val="0"/>
          <w:numId w:val="57"/>
        </w:numPr>
        <w:ind w:left="851" w:hanging="284"/>
      </w:pPr>
      <w:r w:rsidRPr="001400B0">
        <w:t>Szczegółowe warunki realizacji zamówienia oraz warunki płatności zawiera wzór umowy</w:t>
      </w:r>
      <w:r w:rsidR="000A2883" w:rsidRPr="001400B0">
        <w:t xml:space="preserve"> stanowiący załącznik nr </w:t>
      </w:r>
      <w:r w:rsidR="004872A1">
        <w:t>2</w:t>
      </w:r>
      <w:r w:rsidR="000A2883" w:rsidRPr="001400B0">
        <w:t xml:space="preserve"> do S</w:t>
      </w:r>
      <w:r w:rsidRPr="001400B0"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62D1AD2" w:rsidR="00586657" w:rsidRDefault="003B3416" w:rsidP="00BC146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7B49ED95" w:rsidR="00586657" w:rsidRDefault="00586657" w:rsidP="00BC146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749D97C" w:rsidR="00CF6A08" w:rsidRDefault="00586657" w:rsidP="00BC146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06430A11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="00465B47">
        <w:rPr>
          <w:lang w:eastAsia="x-none"/>
        </w:rPr>
        <w:t>zamówień na usługi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BC1468">
      <w:pPr>
        <w:pStyle w:val="Nagwek3"/>
        <w:numPr>
          <w:ilvl w:val="0"/>
          <w:numId w:val="55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BC1468">
      <w:pPr>
        <w:pStyle w:val="Nagwek3"/>
        <w:numPr>
          <w:ilvl w:val="0"/>
          <w:numId w:val="55"/>
        </w:numPr>
        <w:ind w:left="851" w:hanging="284"/>
      </w:pPr>
      <w:r>
        <w:lastRenderedPageBreak/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499D9F4E" w:rsidR="00DA216F" w:rsidRDefault="00DA216F" w:rsidP="00BC1468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725B36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63B2A81D" w14:textId="77777777" w:rsidR="005975F7" w:rsidRDefault="005975F7" w:rsidP="005975F7">
      <w:pPr>
        <w:pStyle w:val="Nagwek1"/>
      </w:pPr>
      <w:bookmarkStart w:id="10" w:name="_Toc62396889"/>
      <w:bookmarkStart w:id="11" w:name="_Toc66169487"/>
      <w:r>
        <w:t>Przedmiotowe środki dowodowe.</w:t>
      </w:r>
      <w:bookmarkEnd w:id="10"/>
      <w:bookmarkEnd w:id="11"/>
    </w:p>
    <w:p w14:paraId="6B685677" w14:textId="77777777" w:rsidR="00D92A6D" w:rsidRDefault="00D92A6D" w:rsidP="00BC1468">
      <w:pPr>
        <w:pStyle w:val="Nagwek2"/>
        <w:keepNext w:val="0"/>
        <w:numPr>
          <w:ilvl w:val="0"/>
          <w:numId w:val="59"/>
        </w:numPr>
        <w:spacing w:before="240" w:after="0" w:line="360" w:lineRule="auto"/>
        <w:contextualSpacing w:val="0"/>
      </w:pPr>
      <w:bookmarkStart w:id="12" w:name="_Toc375581634"/>
      <w:bookmarkStart w:id="13" w:name="_Toc375581816"/>
      <w:bookmarkStart w:id="14" w:name="_Toc375582133"/>
      <w:bookmarkStart w:id="15" w:name="_Toc66169488"/>
      <w:r>
        <w:t>Wykaz wymaganych przedmiotowych środków dowodowych.</w:t>
      </w:r>
    </w:p>
    <w:p w14:paraId="1CC9F876" w14:textId="77777777" w:rsidR="00D92A6D" w:rsidRDefault="00D92A6D" w:rsidP="00D92A6D">
      <w:pPr>
        <w:ind w:left="567" w:firstLine="0"/>
      </w:pPr>
      <w:r>
        <w:t>W celu potwierdzenia zgodności oferowanych usług</w:t>
      </w:r>
      <w:r w:rsidRPr="00B3055B">
        <w:t xml:space="preserve"> z wymaganiami</w:t>
      </w:r>
      <w:r>
        <w:t xml:space="preserve"> o</w:t>
      </w:r>
      <w:r w:rsidRPr="00B3055B">
        <w:t xml:space="preserve">kreślonymi w opisie kryteriów oceny ofert, </w:t>
      </w:r>
      <w:r>
        <w:t xml:space="preserve">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879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961"/>
        <w:gridCol w:w="29"/>
        <w:gridCol w:w="3803"/>
      </w:tblGrid>
      <w:tr w:rsidR="00D92A6D" w:rsidRPr="00881A05" w14:paraId="48C0F5AA" w14:textId="77777777" w:rsidTr="00794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0B4D89A2" w14:textId="77777777" w:rsidR="00D92A6D" w:rsidRPr="00A84C48" w:rsidRDefault="00D92A6D" w:rsidP="00794738">
            <w:pPr>
              <w:widowControl w:val="0"/>
              <w:spacing w:line="360" w:lineRule="auto"/>
              <w:ind w:left="-1095" w:firstLine="0"/>
              <w:jc w:val="center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832" w:type="dxa"/>
            <w:gridSpan w:val="2"/>
            <w:shd w:val="clear" w:color="auto" w:fill="323E4F" w:themeFill="text2" w:themeFillShade="BF"/>
            <w:vAlign w:val="center"/>
          </w:tcPr>
          <w:p w14:paraId="38A5B942" w14:textId="77777777" w:rsidR="00D92A6D" w:rsidRPr="00A84C48" w:rsidRDefault="00D92A6D" w:rsidP="0079473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Wymagana forma i moment złożenia</w:t>
            </w:r>
          </w:p>
        </w:tc>
      </w:tr>
      <w:tr w:rsidR="00D92A6D" w14:paraId="6B3C2963" w14:textId="77777777" w:rsidTr="00794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gridSpan w:val="2"/>
            <w:shd w:val="clear" w:color="auto" w:fill="F2F2F2" w:themeFill="background1" w:themeFillShade="F2"/>
            <w:vAlign w:val="center"/>
          </w:tcPr>
          <w:p w14:paraId="2D9D48AF" w14:textId="77777777" w:rsidR="00D92A6D" w:rsidRPr="00E30E67" w:rsidRDefault="00D92A6D" w:rsidP="0079473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Deklarację przeprowadzenia fakultatywnego szkolenia</w:t>
            </w:r>
            <w:r w:rsidRPr="00E30E6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              </w:t>
            </w:r>
            <w:r w:rsidRPr="00E30E67">
              <w:rPr>
                <w:sz w:val="18"/>
                <w:szCs w:val="18"/>
              </w:rPr>
              <w:t xml:space="preserve">w celu potwierdzenia zgodności oferowanych usług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E30E67">
              <w:rPr>
                <w:sz w:val="18"/>
                <w:szCs w:val="18"/>
              </w:rPr>
              <w:t>z kryteriami określonymi w opisie kryteriów oceny ofert,</w:t>
            </w:r>
            <w:r>
              <w:rPr>
                <w:sz w:val="18"/>
                <w:szCs w:val="18"/>
              </w:rPr>
              <w:t xml:space="preserve">           </w:t>
            </w:r>
            <w:r w:rsidRPr="00E30E67">
              <w:rPr>
                <w:sz w:val="18"/>
                <w:szCs w:val="18"/>
              </w:rPr>
              <w:t xml:space="preserve"> w ramach kryterium: „</w:t>
            </w:r>
            <w:r>
              <w:rPr>
                <w:sz w:val="18"/>
                <w:szCs w:val="18"/>
              </w:rPr>
              <w:t>Fakultatywne szkolenie (S)</w:t>
            </w:r>
            <w:r w:rsidRPr="00E30E67">
              <w:rPr>
                <w:sz w:val="18"/>
                <w:szCs w:val="18"/>
              </w:rPr>
              <w:t xml:space="preserve">”, zgodnie z rozdz. XIII SWZ. </w:t>
            </w:r>
          </w:p>
        </w:tc>
        <w:tc>
          <w:tcPr>
            <w:tcW w:w="3803" w:type="dxa"/>
            <w:shd w:val="clear" w:color="auto" w:fill="F2F2F2" w:themeFill="background1" w:themeFillShade="F2"/>
            <w:vAlign w:val="center"/>
          </w:tcPr>
          <w:p w14:paraId="05FA37D2" w14:textId="77777777" w:rsidR="00D92A6D" w:rsidRPr="00E30E67" w:rsidRDefault="00D92A6D" w:rsidP="0079473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30E67">
              <w:rPr>
                <w:sz w:val="18"/>
                <w:szCs w:val="18"/>
              </w:rPr>
              <w:t>Deklaracja składana w formie oświadczenia, w Formularzu oferty (Załącznik nr 1A do SWZ) (jeżeli dotyczy).</w:t>
            </w:r>
          </w:p>
        </w:tc>
      </w:tr>
    </w:tbl>
    <w:p w14:paraId="7E0C9A58" w14:textId="77777777" w:rsidR="00D92A6D" w:rsidRDefault="00D92A6D" w:rsidP="00D92A6D">
      <w:pPr>
        <w:pStyle w:val="Nagwek2"/>
        <w:keepNext w:val="0"/>
        <w:spacing w:before="240" w:after="0" w:line="360" w:lineRule="auto"/>
        <w:ind w:left="568" w:hanging="284"/>
        <w:contextualSpacing w:val="0"/>
      </w:pPr>
      <w:r>
        <w:t>Informacja dotycząca usunięcia braków formalnych w przedmiotowych środkach dowodowych.</w:t>
      </w:r>
    </w:p>
    <w:p w14:paraId="448A2B03" w14:textId="77777777" w:rsidR="00D92A6D" w:rsidRPr="00C25340" w:rsidRDefault="00D92A6D" w:rsidP="00D92A6D">
      <w:pPr>
        <w:spacing w:after="240"/>
        <w:ind w:left="567" w:firstLine="0"/>
        <w:rPr>
          <w:lang w:eastAsia="x-none"/>
        </w:rPr>
      </w:pPr>
      <w:r>
        <w:rPr>
          <w:lang w:eastAsia="x-none"/>
        </w:rPr>
        <w:t xml:space="preserve">Zgodnie z przepisem art. 107 ust. 3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jeżeli Wykonawca nie złoży wraz z ofertą przedmiotowego środka dowodowego, o którym mowa w ust. 1 lub złożony przedmiotowy środek dowodowy będzie niekompletny, Zamawiający nie będzie wzywał wykonawcy do jego złożenia lub uzupełnienia.</w:t>
      </w:r>
    </w:p>
    <w:p w14:paraId="4B4B5760" w14:textId="121B349F" w:rsidR="00F85C46" w:rsidRPr="00E054BA" w:rsidRDefault="00F85C46" w:rsidP="00E1454C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4F274663" w14:textId="77777777" w:rsidR="00A412FF" w:rsidRPr="00A412FF" w:rsidRDefault="00A412FF" w:rsidP="00BC1468">
      <w:pPr>
        <w:pStyle w:val="Nagwek2"/>
        <w:numPr>
          <w:ilvl w:val="0"/>
          <w:numId w:val="66"/>
        </w:numPr>
        <w:ind w:left="567" w:hanging="283"/>
        <w:rPr>
          <w:rFonts w:eastAsia="Calibri"/>
        </w:rPr>
      </w:pPr>
      <w:bookmarkStart w:id="16" w:name="_Toc66169489"/>
      <w:r w:rsidRPr="00A412FF">
        <w:rPr>
          <w:rFonts w:eastAsia="Calibri"/>
        </w:rPr>
        <w:t xml:space="preserve">Obligatoryjne podstawy wykluczenia.      </w:t>
      </w:r>
    </w:p>
    <w:p w14:paraId="30C42C91" w14:textId="77777777" w:rsidR="00A412FF" w:rsidRPr="00A412FF" w:rsidRDefault="00A412FF" w:rsidP="00A412FF">
      <w:pPr>
        <w:ind w:left="567" w:firstLine="0"/>
      </w:pPr>
      <w:r w:rsidRPr="00A412FF"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 w:rsidRPr="00A412FF">
        <w:t>Pzp</w:t>
      </w:r>
      <w:proofErr w:type="spellEnd"/>
      <w:r w:rsidRPr="00A412FF">
        <w:t xml:space="preserve"> (obligatoryjne podstawy wykluczenia). Obligatoryjne przesłanki wykluczenia zostały wymienione w załączniku nr 1B do SWZ – wzorze formularza oświadczenia o braku podstaw do wykluczenia z postępowania.</w:t>
      </w:r>
    </w:p>
    <w:p w14:paraId="70EE8E6A" w14:textId="77777777" w:rsidR="00A412FF" w:rsidRPr="00A412FF" w:rsidRDefault="00A412FF" w:rsidP="00A412FF">
      <w:pPr>
        <w:keepNext/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412FF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Fakultatywne podstawy wykluczenia. </w:t>
      </w:r>
    </w:p>
    <w:p w14:paraId="0ADA6D40" w14:textId="77777777" w:rsidR="00A412FF" w:rsidRPr="00A412FF" w:rsidRDefault="00A412FF" w:rsidP="00A412FF">
      <w:pPr>
        <w:ind w:left="567" w:firstLine="0"/>
      </w:pPr>
      <w:r w:rsidRPr="00A412FF">
        <w:t xml:space="preserve">Zamawiający nie przewiduje fakultatywnych przesłanek wykluczenia, w oparciu o przepis art. 109 ust. 1 ustawy </w:t>
      </w:r>
      <w:proofErr w:type="spellStart"/>
      <w:r w:rsidRPr="00A412FF">
        <w:t>Pzp</w:t>
      </w:r>
      <w:proofErr w:type="spellEnd"/>
      <w:r w:rsidRPr="00A412FF">
        <w:t xml:space="preserve">. </w:t>
      </w:r>
    </w:p>
    <w:p w14:paraId="789DE3B9" w14:textId="77777777" w:rsidR="00A412FF" w:rsidRPr="00A412FF" w:rsidRDefault="00A412FF" w:rsidP="00A412FF">
      <w:pPr>
        <w:keepNext/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851" w:hanging="218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412FF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Self – cleaning. </w:t>
      </w:r>
    </w:p>
    <w:p w14:paraId="5C36283E" w14:textId="77777777" w:rsidR="00A412FF" w:rsidRPr="00A412FF" w:rsidRDefault="00A412FF" w:rsidP="00A412FF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412FF">
        <w:rPr>
          <w:rFonts w:eastAsia="Calibri" w:cs="Times New Roman"/>
          <w:bCs/>
          <w:szCs w:val="26"/>
          <w:lang w:eastAsia="x-none"/>
        </w:rPr>
        <w:t xml:space="preserve">Wykonawca nie podlega wykluczeniu z postępowania w zakresie przesłanek obligatoryjnych z art. 108 ust. 1 pkt 1, 2 i 5 ustawy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>, je</w:t>
      </w:r>
      <w:r w:rsidRPr="00A412FF">
        <w:rPr>
          <w:rFonts w:eastAsia="Calibri" w:cs="Bahnschrift"/>
          <w:bCs/>
          <w:szCs w:val="26"/>
          <w:lang w:eastAsia="x-none"/>
        </w:rPr>
        <w:t>ż</w:t>
      </w:r>
      <w:r w:rsidRPr="00A412FF">
        <w:rPr>
          <w:rFonts w:eastAsia="Calibri" w:cs="Times New Roman"/>
          <w:bCs/>
          <w:szCs w:val="26"/>
          <w:lang w:eastAsia="x-none"/>
        </w:rPr>
        <w:t>eli udowodni Zamawiaj</w:t>
      </w:r>
      <w:r w:rsidRPr="00A412FF">
        <w:rPr>
          <w:rFonts w:eastAsia="Calibri" w:cs="Bahnschrift"/>
          <w:bCs/>
          <w:szCs w:val="26"/>
          <w:lang w:eastAsia="x-none"/>
        </w:rPr>
        <w:t>ą</w:t>
      </w:r>
      <w:r w:rsidRPr="00A412FF">
        <w:rPr>
          <w:rFonts w:eastAsia="Calibri" w:cs="Times New Roman"/>
          <w:bCs/>
          <w:szCs w:val="26"/>
          <w:lang w:eastAsia="x-none"/>
        </w:rPr>
        <w:t xml:space="preserve">cemu, </w:t>
      </w:r>
      <w:r w:rsidRPr="00A412FF">
        <w:rPr>
          <w:rFonts w:eastAsia="Calibri" w:cs="Bahnschrift"/>
          <w:bCs/>
          <w:szCs w:val="26"/>
          <w:lang w:eastAsia="x-none"/>
        </w:rPr>
        <w:t>ż</w:t>
      </w:r>
      <w:r w:rsidRPr="00A412FF">
        <w:rPr>
          <w:rFonts w:eastAsia="Calibri" w:cs="Times New Roman"/>
          <w:bCs/>
          <w:szCs w:val="26"/>
          <w:lang w:eastAsia="x-none"/>
        </w:rPr>
        <w:t>e spe</w:t>
      </w:r>
      <w:r w:rsidRPr="00A412FF">
        <w:rPr>
          <w:rFonts w:eastAsia="Calibri" w:cs="Bahnschrift"/>
          <w:bCs/>
          <w:szCs w:val="26"/>
          <w:lang w:eastAsia="x-none"/>
        </w:rPr>
        <w:t>ł</w:t>
      </w:r>
      <w:r w:rsidRPr="00A412FF">
        <w:rPr>
          <w:rFonts w:eastAsia="Calibri" w:cs="Times New Roman"/>
          <w:bCs/>
          <w:szCs w:val="26"/>
          <w:lang w:eastAsia="x-none"/>
        </w:rPr>
        <w:t>ni</w:t>
      </w:r>
      <w:r w:rsidRPr="00A412FF">
        <w:rPr>
          <w:rFonts w:eastAsia="Calibri" w:cs="Bahnschrift"/>
          <w:bCs/>
          <w:szCs w:val="26"/>
          <w:lang w:eastAsia="x-none"/>
        </w:rPr>
        <w:t>ł</w:t>
      </w:r>
      <w:r w:rsidRPr="00A412FF">
        <w:rPr>
          <w:rFonts w:eastAsia="Calibri" w:cs="Times New Roman"/>
          <w:bCs/>
          <w:szCs w:val="26"/>
          <w:lang w:eastAsia="x-none"/>
        </w:rPr>
        <w:t xml:space="preserve"> </w:t>
      </w:r>
      <w:r w:rsidRPr="00A412FF">
        <w:rPr>
          <w:rFonts w:eastAsia="Calibri" w:cs="Bahnschrift"/>
          <w:bCs/>
          <w:szCs w:val="26"/>
          <w:lang w:eastAsia="x-none"/>
        </w:rPr>
        <w:t>łą</w:t>
      </w:r>
      <w:r w:rsidRPr="00A412FF">
        <w:rPr>
          <w:rFonts w:eastAsia="Calibri" w:cs="Times New Roman"/>
          <w:bCs/>
          <w:szCs w:val="26"/>
          <w:lang w:eastAsia="x-none"/>
        </w:rPr>
        <w:t>cznie przes</w:t>
      </w:r>
      <w:r w:rsidRPr="00A412FF">
        <w:rPr>
          <w:rFonts w:eastAsia="Calibri" w:cs="Bahnschrift"/>
          <w:bCs/>
          <w:szCs w:val="26"/>
          <w:lang w:eastAsia="x-none"/>
        </w:rPr>
        <w:t>ł</w:t>
      </w:r>
      <w:r w:rsidRPr="00A412FF">
        <w:rPr>
          <w:rFonts w:eastAsia="Calibri" w:cs="Times New Roman"/>
          <w:bCs/>
          <w:szCs w:val="26"/>
          <w:lang w:eastAsia="x-none"/>
        </w:rPr>
        <w:t xml:space="preserve">anki wymienione </w:t>
      </w:r>
      <w:r w:rsidRPr="00A412FF">
        <w:rPr>
          <w:rFonts w:eastAsia="Calibri" w:cs="Times New Roman"/>
          <w:bCs/>
          <w:szCs w:val="26"/>
          <w:lang w:eastAsia="x-none"/>
        </w:rPr>
        <w:lastRenderedPageBreak/>
        <w:t xml:space="preserve">w art. 110 ust. 2 ustawy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24B2AC11" w14:textId="77777777" w:rsidR="00A412FF" w:rsidRPr="00A412FF" w:rsidRDefault="00A412FF" w:rsidP="00A412FF">
      <w:pPr>
        <w:keepNext/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412FF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Zasady dotyczące oceny podstaw wykluczenia przez Zamawiającego. </w:t>
      </w:r>
    </w:p>
    <w:p w14:paraId="757FBDF9" w14:textId="77777777" w:rsidR="00A412FF" w:rsidRPr="00A412FF" w:rsidRDefault="00A412FF" w:rsidP="00BC1468">
      <w:pPr>
        <w:pStyle w:val="Nagwek3"/>
        <w:numPr>
          <w:ilvl w:val="0"/>
          <w:numId w:val="67"/>
        </w:numPr>
        <w:ind w:left="851" w:hanging="284"/>
        <w:rPr>
          <w:rFonts w:eastAsia="Calibri"/>
        </w:rPr>
      </w:pPr>
      <w:r w:rsidRPr="00A412FF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0A7E355" w14:textId="77777777" w:rsidR="00A412FF" w:rsidRPr="00A412FF" w:rsidRDefault="00A412FF" w:rsidP="00A412FF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412FF">
        <w:rPr>
          <w:rFonts w:eastAsia="Calibri" w:cs="Times New Roman"/>
          <w:bCs/>
          <w:szCs w:val="26"/>
          <w:lang w:eastAsia="x-none"/>
        </w:rPr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>;</w:t>
      </w:r>
    </w:p>
    <w:p w14:paraId="03C900AF" w14:textId="77777777" w:rsidR="00A412FF" w:rsidRPr="00A412FF" w:rsidRDefault="00A412FF" w:rsidP="00A412FF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412FF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A412FF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412FF">
        <w:rPr>
          <w:rFonts w:eastAsia="Calibri" w:cs="Times New Roman"/>
          <w:bCs/>
          <w:szCs w:val="26"/>
          <w:lang w:eastAsia="x-none"/>
        </w:rPr>
        <w:t xml:space="preserve">. Zamawiający nie będzie wymagał złożenia podmiotowych środków dowodowych w celu potwierdzenia braku podstaw do wykluczenia. </w:t>
      </w:r>
    </w:p>
    <w:p w14:paraId="512BF404" w14:textId="77777777" w:rsidR="00A412FF" w:rsidRPr="00A412FF" w:rsidRDefault="00A412FF" w:rsidP="00A412FF">
      <w:pPr>
        <w:keepNext/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412FF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1E3D315F" w14:textId="77777777" w:rsidR="00A412FF" w:rsidRPr="00A412FF" w:rsidRDefault="00A412FF" w:rsidP="00BC1468">
      <w:pPr>
        <w:pStyle w:val="Nagwek3"/>
        <w:numPr>
          <w:ilvl w:val="0"/>
          <w:numId w:val="68"/>
        </w:numPr>
        <w:ind w:left="851" w:hanging="284"/>
      </w:pPr>
      <w:r w:rsidRPr="00A412FF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412FF">
        <w:t>późn</w:t>
      </w:r>
      <w:proofErr w:type="spellEnd"/>
      <w:r w:rsidRPr="00A412FF"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412FF">
        <w:t>późn</w:t>
      </w:r>
      <w:proofErr w:type="spellEnd"/>
      <w:r w:rsidRPr="00A412FF">
        <w:t>. zm.) – „rozporządzenie 269/2014” albo wpisanego na listę na podstawie decyzji w sprawie wpisu na listę rozstrzygającej o zastosowaniu środka, o którym mowa w art. 1 pkt 3 Ustawy;</w:t>
      </w:r>
    </w:p>
    <w:p w14:paraId="2C9BBCEA" w14:textId="77777777" w:rsidR="00A412FF" w:rsidRPr="00A412FF" w:rsidRDefault="00A412FF" w:rsidP="00A412FF">
      <w:pPr>
        <w:numPr>
          <w:ilvl w:val="0"/>
          <w:numId w:val="12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412FF">
        <w:rPr>
          <w:rFonts w:eastAsia="Times New Roman" w:cs="Times New Roman"/>
          <w:bCs/>
          <w:szCs w:val="26"/>
          <w:lang w:eastAsia="x-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AB27B5" w14:textId="77777777" w:rsidR="00A412FF" w:rsidRPr="00A412FF" w:rsidRDefault="00A412FF" w:rsidP="00A412FF">
      <w:pPr>
        <w:numPr>
          <w:ilvl w:val="0"/>
          <w:numId w:val="12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412FF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jednostką dominującą w rozumieniu art. 3 ust. 1 pkt 37 ustawy z dnia 29 września 1994 r. o rachunkowości </w:t>
      </w:r>
      <w:r w:rsidRPr="00A412FF">
        <w:t>(</w:t>
      </w:r>
      <w:proofErr w:type="spellStart"/>
      <w:r w:rsidRPr="00A412FF">
        <w:t>t.j</w:t>
      </w:r>
      <w:proofErr w:type="spellEnd"/>
      <w:r w:rsidRPr="00A412FF">
        <w:t xml:space="preserve">. Dz. U. z 2023 r. poz. 120 z </w:t>
      </w:r>
      <w:proofErr w:type="spellStart"/>
      <w:r w:rsidRPr="00A412FF">
        <w:t>późn</w:t>
      </w:r>
      <w:proofErr w:type="spellEnd"/>
      <w:r w:rsidRPr="00A412FF">
        <w:t xml:space="preserve">. zm.) </w:t>
      </w:r>
      <w:r w:rsidRPr="00A412FF">
        <w:rPr>
          <w:rFonts w:eastAsia="Times New Roman" w:cs="Times New Roman"/>
          <w:bCs/>
          <w:szCs w:val="26"/>
          <w:lang w:eastAsia="x-none"/>
        </w:rPr>
        <w:t xml:space="preserve">jest podmiot wymieniony w wykazach określonych w rozporządzeniu 765/2006 i rozporządzeniu </w:t>
      </w:r>
      <w:r w:rsidRPr="00A412FF">
        <w:rPr>
          <w:rFonts w:eastAsia="Times New Roman" w:cs="Times New Roman"/>
          <w:bCs/>
          <w:szCs w:val="26"/>
          <w:lang w:eastAsia="x-none"/>
        </w:rPr>
        <w:lastRenderedPageBreak/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A1F4EA0" w14:textId="77777777" w:rsidR="00A412FF" w:rsidRPr="00A412FF" w:rsidRDefault="00A412FF" w:rsidP="00A412FF">
      <w:pPr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412FF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E184456" w14:textId="77777777" w:rsidR="00A412FF" w:rsidRPr="00A412FF" w:rsidRDefault="00A412FF" w:rsidP="00A412FF">
      <w:pPr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412FF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4028CE2" w14:textId="77777777" w:rsidR="00A412FF" w:rsidRPr="00A412FF" w:rsidRDefault="00A412FF" w:rsidP="00A412FF">
      <w:pPr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412FF">
        <w:rPr>
          <w:rFonts w:eastAsia="Calibri" w:cs="Times New Roman"/>
          <w:bCs/>
          <w:noProof/>
          <w:szCs w:val="26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6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7" w:name="_Toc66169490"/>
      <w:r>
        <w:rPr>
          <w:noProof/>
        </w:rPr>
        <w:t>Oświadczenie wstępne, podmiotowe środki dowodowe oraz inne dokumenty.</w:t>
      </w:r>
      <w:bookmarkEnd w:id="17"/>
    </w:p>
    <w:p w14:paraId="22CBC4F0" w14:textId="02103DDA" w:rsidR="00F85C46" w:rsidRDefault="00B376D2" w:rsidP="00BC1468">
      <w:pPr>
        <w:pStyle w:val="Nagwek2"/>
        <w:numPr>
          <w:ilvl w:val="0"/>
          <w:numId w:val="13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p w14:paraId="774FF122" w14:textId="77777777" w:rsidR="003918BB" w:rsidRDefault="003918BB" w:rsidP="003918BB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BC1468">
      <w:pPr>
        <w:pStyle w:val="Nagwek3"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3FD44BF9" w14:textId="4DEB8E55" w:rsidR="00620988" w:rsidRPr="00D92A6D" w:rsidRDefault="00815FE8" w:rsidP="00BC1468">
      <w:pPr>
        <w:pStyle w:val="Nagwek3"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8" w:name="_Toc66169491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7D88687D" w14:textId="77777777" w:rsidR="0036258F" w:rsidRPr="00516E65" w:rsidRDefault="0036258F" w:rsidP="00BC1468">
      <w:pPr>
        <w:keepNext/>
        <w:numPr>
          <w:ilvl w:val="0"/>
          <w:numId w:val="61"/>
        </w:numPr>
        <w:spacing w:before="120" w:after="60" w:line="336" w:lineRule="auto"/>
        <w:ind w:hanging="218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bookmarkStart w:id="20" w:name="_Toc66169492"/>
      <w:bookmarkEnd w:id="19"/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 xml:space="preserve">Wysokość wadium. </w:t>
      </w:r>
    </w:p>
    <w:p w14:paraId="751D8D20" w14:textId="1842D9E1" w:rsidR="0036258F" w:rsidRPr="00F16E06" w:rsidRDefault="0036258F" w:rsidP="0036258F">
      <w:pPr>
        <w:ind w:left="567" w:firstLine="0"/>
        <w:rPr>
          <w:rFonts w:eastAsia="Palatino Linotype" w:cs="Times New Roman"/>
          <w:color w:val="000000"/>
        </w:rPr>
      </w:pPr>
      <w:r w:rsidRPr="00516E65">
        <w:rPr>
          <w:rFonts w:eastAsia="Palatino Linotype" w:cs="Times New Roman"/>
          <w:color w:val="000000"/>
        </w:rPr>
        <w:t xml:space="preserve">Oferta winna być zabezpieczona wadium w wysokości: </w:t>
      </w:r>
      <w:r>
        <w:rPr>
          <w:rFonts w:eastAsia="Palatino Linotype" w:cs="Times New Roman"/>
        </w:rPr>
        <w:t>2 </w:t>
      </w:r>
      <w:r w:rsidR="00BC1468">
        <w:rPr>
          <w:rFonts w:eastAsia="Palatino Linotype" w:cs="Times New Roman"/>
        </w:rPr>
        <w:t>0</w:t>
      </w:r>
      <w:r>
        <w:rPr>
          <w:rFonts w:eastAsia="Palatino Linotype" w:cs="Times New Roman"/>
        </w:rPr>
        <w:t>00,00</w:t>
      </w:r>
      <w:r w:rsidRPr="00F16E06">
        <w:rPr>
          <w:rFonts w:eastAsia="Palatino Linotype" w:cs="Times New Roman"/>
        </w:rPr>
        <w:t xml:space="preserve"> zł (słownie: </w:t>
      </w:r>
      <w:r>
        <w:rPr>
          <w:rFonts w:eastAsia="Palatino Linotype" w:cs="Times New Roman"/>
        </w:rPr>
        <w:t xml:space="preserve">dwa tysiące </w:t>
      </w:r>
      <w:r w:rsidRPr="00F16E06">
        <w:rPr>
          <w:rFonts w:eastAsia="Palatino Linotype" w:cs="Times New Roman"/>
        </w:rPr>
        <w:t>zł, 00/100),</w:t>
      </w:r>
    </w:p>
    <w:p w14:paraId="09BBFF70" w14:textId="77777777" w:rsidR="0036258F" w:rsidRPr="00516E65" w:rsidRDefault="0036258F" w:rsidP="00BC1468">
      <w:pPr>
        <w:keepNext/>
        <w:numPr>
          <w:ilvl w:val="0"/>
          <w:numId w:val="61"/>
        </w:numPr>
        <w:spacing w:before="120" w:after="60" w:line="336" w:lineRule="auto"/>
        <w:ind w:hanging="218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 xml:space="preserve">Forma wniesienia wadium. </w:t>
      </w:r>
    </w:p>
    <w:p w14:paraId="0C431414" w14:textId="77777777" w:rsidR="0036258F" w:rsidRPr="00516E65" w:rsidRDefault="0036258F" w:rsidP="0036258F">
      <w:pPr>
        <w:spacing w:before="40" w:after="40"/>
        <w:ind w:left="567" w:firstLine="0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>Wadium może być wniesione w jednej lub w kilku następujących formach:</w:t>
      </w:r>
    </w:p>
    <w:p w14:paraId="0465F313" w14:textId="77777777" w:rsidR="0036258F" w:rsidRPr="00F35053" w:rsidRDefault="0036258F" w:rsidP="00BC1468">
      <w:pPr>
        <w:pStyle w:val="Nagwek3"/>
        <w:numPr>
          <w:ilvl w:val="0"/>
          <w:numId w:val="65"/>
        </w:numPr>
        <w:ind w:left="851" w:hanging="284"/>
      </w:pPr>
      <w:r w:rsidRPr="00F35053">
        <w:lastRenderedPageBreak/>
        <w:t>w pieniądzu, na rachunek Zamawiającego:</w:t>
      </w:r>
    </w:p>
    <w:p w14:paraId="562ACF08" w14:textId="77777777" w:rsidR="0036258F" w:rsidRPr="00516E65" w:rsidRDefault="0036258F" w:rsidP="0036258F">
      <w:pPr>
        <w:ind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ING Bank Śląski Spółka Akcyjna o/Katowice,</w:t>
      </w:r>
    </w:p>
    <w:p w14:paraId="43554969" w14:textId="77777777" w:rsidR="0036258F" w:rsidRPr="00516E65" w:rsidRDefault="0036258F" w:rsidP="0036258F">
      <w:pPr>
        <w:ind w:firstLine="0"/>
        <w:contextualSpacing/>
        <w:outlineLvl w:val="2"/>
        <w:rPr>
          <w:rFonts w:eastAsia="Times New Roman" w:cs="Times New Roman"/>
          <w:bCs/>
          <w:i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nr rachunku: 29 1050 1214 1000 0022 0331 4816 lub</w:t>
      </w:r>
    </w:p>
    <w:p w14:paraId="39EE2360" w14:textId="77777777" w:rsidR="0036258F" w:rsidRPr="00516E65" w:rsidRDefault="0036258F" w:rsidP="0036258F">
      <w:pPr>
        <w:numPr>
          <w:ilvl w:val="0"/>
          <w:numId w:val="12"/>
        </w:numPr>
        <w:ind w:left="851" w:hanging="284"/>
        <w:contextualSpacing/>
        <w:outlineLvl w:val="2"/>
        <w:rPr>
          <w:rFonts w:eastAsia="Times New Roman" w:cs="Times New Roman"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w formie niepieniężnej, poprzez przekazanie Zamawiającemu oryginału gwarancji lub poręczenia, w postaci elektronicznej w ramach:</w:t>
      </w:r>
    </w:p>
    <w:p w14:paraId="7FCFF8BB" w14:textId="77777777" w:rsidR="0036258F" w:rsidRPr="00516E65" w:rsidRDefault="0036258F" w:rsidP="00BC1468">
      <w:pPr>
        <w:numPr>
          <w:ilvl w:val="0"/>
          <w:numId w:val="62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gwarancji bankowych lub</w:t>
      </w:r>
      <w:r w:rsidRPr="00516E65">
        <w:rPr>
          <w:rFonts w:eastAsia="Times New Roman" w:cs="Times New Roman"/>
          <w:bCs/>
          <w:i/>
          <w:szCs w:val="26"/>
          <w:lang w:eastAsia="x-none"/>
        </w:rPr>
        <w:t xml:space="preserve"> </w:t>
      </w:r>
    </w:p>
    <w:p w14:paraId="68861C7C" w14:textId="77777777" w:rsidR="0036258F" w:rsidRPr="00516E65" w:rsidRDefault="0036258F" w:rsidP="00BC1468">
      <w:pPr>
        <w:numPr>
          <w:ilvl w:val="0"/>
          <w:numId w:val="62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gwarancji ubezpieczeniowych lub</w:t>
      </w:r>
    </w:p>
    <w:p w14:paraId="7BFFB94E" w14:textId="77777777" w:rsidR="0036258F" w:rsidRPr="00516E65" w:rsidRDefault="0036258F" w:rsidP="00BC1468">
      <w:pPr>
        <w:numPr>
          <w:ilvl w:val="0"/>
          <w:numId w:val="62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poręczeń udzielanych przez podmioty, o których mowa w art. 6b ust. 5 pkt 2) ustawy</w:t>
      </w:r>
      <w:r w:rsidRPr="00516E65">
        <w:rPr>
          <w:rFonts w:eastAsia="Times New Roman" w:cs="Times New Roman"/>
          <w:bCs/>
          <w:szCs w:val="26"/>
          <w:lang w:eastAsia="x-none"/>
        </w:rPr>
        <w:br/>
        <w:t>z dnia 9 listopada 2000 r. o utworzeniu Polskiej Agencji Rozwoju Przedsiębiorczości.</w:t>
      </w:r>
    </w:p>
    <w:p w14:paraId="1C74D3A2" w14:textId="77777777" w:rsidR="0036258F" w:rsidRPr="00516E65" w:rsidRDefault="0036258F" w:rsidP="0036258F">
      <w:pPr>
        <w:keepNext/>
        <w:numPr>
          <w:ilvl w:val="0"/>
          <w:numId w:val="7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noProof/>
          <w:color w:val="000000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Moment wniesienia wadium.</w:t>
      </w:r>
    </w:p>
    <w:p w14:paraId="48E7AFB7" w14:textId="77777777" w:rsidR="0036258F" w:rsidRPr="00516E65" w:rsidRDefault="0036258F" w:rsidP="0036258F">
      <w:pPr>
        <w:spacing w:before="40" w:after="40"/>
        <w:ind w:left="567" w:firstLine="0"/>
        <w:contextualSpacing/>
        <w:rPr>
          <w:rFonts w:eastAsia="Palatino Linotype" w:cs="Arial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Wadium wnosi się przed upływem terminu składania ofert (tj. przed upływem godziny i dnia wyznaczonego, jako ostateczny termin składania ofert) i utrzymuje nieprzerwanie do dnia upływu terminu związania ofertą, o którym mowa w rozdz. XII ust. 1,  z wyjątkiem przypadków, o których mowa w art. 98 ust. 1 pkt 2 i 3 oraz ust. 2  ustawy </w:t>
      </w:r>
      <w:proofErr w:type="spellStart"/>
      <w:r w:rsidRPr="00516E65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color w:val="000000"/>
          <w:szCs w:val="20"/>
          <w:lang w:eastAsia="pl-PL"/>
        </w:rPr>
        <w:t>. Za datę wniesienia wadium w pieniądzu (przelewem) uważa się datę uznania rachunku bankowego Zamawiającego. Wadium powinno wpłynąć na rachunek bankowy Zamawiającego do upływu terminu wyznaczonego na składanie ofert (</w:t>
      </w:r>
      <w:proofErr w:type="spellStart"/>
      <w:r w:rsidRPr="00516E65">
        <w:rPr>
          <w:rFonts w:eastAsia="Palatino Linotype" w:cs="Arial"/>
          <w:color w:val="000000"/>
          <w:szCs w:val="20"/>
          <w:lang w:eastAsia="pl-PL"/>
        </w:rPr>
        <w:t>t.j</w:t>
      </w:r>
      <w:proofErr w:type="spellEnd"/>
      <w:r w:rsidRPr="00516E65">
        <w:rPr>
          <w:rFonts w:eastAsia="Palatino Linotype" w:cs="Arial"/>
          <w:color w:val="000000"/>
          <w:szCs w:val="20"/>
          <w:lang w:eastAsia="pl-PL"/>
        </w:rPr>
        <w:t xml:space="preserve">. przed upływem godziny i dnia wyznaczonego, jako ostateczny termin składania ofert). </w:t>
      </w:r>
    </w:p>
    <w:p w14:paraId="7B4CCC5B" w14:textId="77777777" w:rsidR="0036258F" w:rsidRPr="00516E65" w:rsidRDefault="0036258F" w:rsidP="0036258F">
      <w:pPr>
        <w:keepNext/>
        <w:numPr>
          <w:ilvl w:val="0"/>
          <w:numId w:val="7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Wymagania dotyczące wadium wnoszonego w formie niepieniężnej:</w:t>
      </w:r>
    </w:p>
    <w:p w14:paraId="4C48A6D5" w14:textId="77777777" w:rsidR="0036258F" w:rsidRPr="00516E65" w:rsidRDefault="0036258F" w:rsidP="00BC1468">
      <w:pPr>
        <w:numPr>
          <w:ilvl w:val="0"/>
          <w:numId w:val="60"/>
        </w:numPr>
        <w:spacing w:before="40" w:after="40"/>
        <w:ind w:left="851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z treści gwarancji (poręczenia) powinno w sposób nie budzący wątpliwości wynikać zobowiązanie </w:t>
      </w:r>
      <w:r w:rsidRPr="00516E65">
        <w:rPr>
          <w:rFonts w:eastAsia="Palatino Linotype" w:cs="Arial"/>
          <w:iCs/>
          <w:color w:val="000000"/>
          <w:szCs w:val="20"/>
          <w:lang w:eastAsia="pl-PL"/>
        </w:rPr>
        <w:t>gwaranta</w:t>
      </w:r>
      <w:r w:rsidRPr="00516E65">
        <w:rPr>
          <w:rFonts w:eastAsia="Palatino Linotype" w:cs="Arial"/>
          <w:i/>
          <w:iCs/>
          <w:color w:val="000000"/>
          <w:szCs w:val="20"/>
          <w:lang w:eastAsia="pl-PL"/>
        </w:rPr>
        <w:t xml:space="preserve"> </w:t>
      </w:r>
      <w:r w:rsidRPr="00516E65">
        <w:rPr>
          <w:rFonts w:eastAsia="Palatino Linotype" w:cs="Arial"/>
          <w:color w:val="000000"/>
          <w:szCs w:val="20"/>
          <w:lang w:eastAsia="pl-PL"/>
        </w:rPr>
        <w:t xml:space="preserve">do zapłaty </w:t>
      </w:r>
      <w:r w:rsidRPr="00516E65">
        <w:rPr>
          <w:rFonts w:eastAsia="Palatino Linotype" w:cs="Arial"/>
          <w:iCs/>
          <w:color w:val="000000"/>
          <w:szCs w:val="20"/>
          <w:lang w:eastAsia="pl-PL"/>
        </w:rPr>
        <w:t xml:space="preserve">beneficjentowi gwarancji lub poręczenia </w:t>
      </w:r>
      <w:r w:rsidRPr="00516E65">
        <w:rPr>
          <w:rFonts w:eastAsia="Palatino Linotype" w:cs="Arial"/>
          <w:color w:val="000000"/>
          <w:szCs w:val="20"/>
          <w:lang w:eastAsia="pl-PL"/>
        </w:rPr>
        <w:t>(Zamawiającemu) należności, w przypadku ziszczenia się któregokolwiek z warunków:</w:t>
      </w:r>
    </w:p>
    <w:p w14:paraId="1A352940" w14:textId="77777777" w:rsidR="0036258F" w:rsidRPr="00516E65" w:rsidRDefault="0036258F" w:rsidP="00BC1468">
      <w:pPr>
        <w:numPr>
          <w:ilvl w:val="0"/>
          <w:numId w:val="63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wykonawca </w:t>
      </w:r>
      <w:r w:rsidRPr="00516E65">
        <w:rPr>
          <w:rFonts w:eastAsia="Times New Roman" w:cs="Times New Roman"/>
          <w:bCs/>
          <w:iCs/>
          <w:color w:val="000000"/>
          <w:szCs w:val="20"/>
          <w:lang w:eastAsia="x-none"/>
        </w:rPr>
        <w:t>(zleceniodawca)</w:t>
      </w: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w odpowiedzi na wezwanie, o którym mowa w art. 107 ust. 2 lub art. 128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oświadczenia, o którym mowa w art. 125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innych dokumentów lub oświadczeń lub nie wyraził zgody na poprawienie omyłki, o której mowa w art. 223 ust. 2 pkt 3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, co spowodowało brak możliwości wybrania oferty złożonej przez wykonawcę jako najkorzystniejszej;</w:t>
      </w:r>
    </w:p>
    <w:p w14:paraId="047C36FF" w14:textId="77777777" w:rsidR="0036258F" w:rsidRPr="00516E65" w:rsidRDefault="0036258F" w:rsidP="00BC1468">
      <w:pPr>
        <w:numPr>
          <w:ilvl w:val="0"/>
          <w:numId w:val="63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wykonawca (zleceniodawca), którego oferta została wybrana: </w:t>
      </w:r>
    </w:p>
    <w:p w14:paraId="2C5697B3" w14:textId="77777777" w:rsidR="0036258F" w:rsidRPr="00516E65" w:rsidRDefault="0036258F" w:rsidP="00BC1468">
      <w:pPr>
        <w:numPr>
          <w:ilvl w:val="0"/>
          <w:numId w:val="64"/>
        </w:numPr>
        <w:spacing w:before="40" w:after="40"/>
        <w:ind w:left="1418" w:hanging="283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odmówił podpisania umowy w sprawie zamówienia publicznego na warunkach określonych w ofercie, </w:t>
      </w:r>
    </w:p>
    <w:p w14:paraId="1106774F" w14:textId="77777777" w:rsidR="0036258F" w:rsidRPr="00516E65" w:rsidRDefault="0036258F" w:rsidP="00BC1468">
      <w:pPr>
        <w:numPr>
          <w:ilvl w:val="0"/>
          <w:numId w:val="64"/>
        </w:numPr>
        <w:spacing w:before="40" w:after="40"/>
        <w:ind w:left="1418" w:hanging="283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>nie wniósł wymaganego zabezpieczenia należytego wykonania umowy;</w:t>
      </w:r>
    </w:p>
    <w:p w14:paraId="401BDDE7" w14:textId="77777777" w:rsidR="0036258F" w:rsidRPr="00516E65" w:rsidRDefault="0036258F" w:rsidP="0036258F">
      <w:pPr>
        <w:numPr>
          <w:ilvl w:val="0"/>
          <w:numId w:val="11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szCs w:val="20"/>
          <w:lang w:val="x-none" w:eastAsia="x-none"/>
        </w:rPr>
        <w:t>zawarcie umowy w sprawie zamówienia publicznego stało się niemożliwe z przyczyn leżących po stronie wykonawcy</w:t>
      </w:r>
      <w:r w:rsidRPr="00516E65">
        <w:rPr>
          <w:rFonts w:eastAsia="Times New Roman" w:cs="Times New Roman"/>
          <w:bCs/>
          <w:iCs/>
          <w:szCs w:val="20"/>
          <w:lang w:eastAsia="x-none"/>
        </w:rPr>
        <w:t xml:space="preserve"> (zleceniodawcy)</w:t>
      </w:r>
      <w:r w:rsidRPr="00516E65">
        <w:rPr>
          <w:rFonts w:eastAsia="Times New Roman" w:cs="Times New Roman"/>
          <w:bCs/>
          <w:iCs/>
          <w:szCs w:val="20"/>
          <w:lang w:val="x-none" w:eastAsia="x-none"/>
        </w:rPr>
        <w:t>, którego oferta została wybrana.</w:t>
      </w:r>
    </w:p>
    <w:p w14:paraId="081CB658" w14:textId="77777777" w:rsidR="0036258F" w:rsidRPr="00516E65" w:rsidRDefault="0036258F" w:rsidP="00BC1468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 xml:space="preserve">zobowiązanie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gwaranta (poręczyciela)</w:t>
      </w:r>
      <w:r w:rsidRPr="00516E65">
        <w:rPr>
          <w:rFonts w:eastAsia="Times New Roman" w:cs="Times New Roman"/>
          <w:bCs/>
          <w:i/>
          <w:iCs/>
          <w:szCs w:val="26"/>
          <w:lang w:eastAsia="x-none"/>
        </w:rPr>
        <w:t xml:space="preserve">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po</w:t>
      </w:r>
      <w:r w:rsidRPr="00516E65">
        <w:rPr>
          <w:rFonts w:eastAsia="Times New Roman" w:cs="Times New Roman"/>
          <w:bCs/>
          <w:szCs w:val="26"/>
          <w:lang w:eastAsia="x-none"/>
        </w:rPr>
        <w:t xml:space="preserve">winno być bezwarunkowe, nieodwołalne i płatne na pierwsze żądanie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beneficjenta gwarancji lub poręczenia</w:t>
      </w:r>
      <w:r w:rsidRPr="00516E65">
        <w:rPr>
          <w:rFonts w:eastAsia="Times New Roman" w:cs="Times New Roman"/>
          <w:bCs/>
          <w:i/>
          <w:iCs/>
          <w:szCs w:val="26"/>
          <w:lang w:eastAsia="x-none"/>
        </w:rPr>
        <w:t xml:space="preserve"> </w:t>
      </w:r>
      <w:r w:rsidRPr="00516E65">
        <w:rPr>
          <w:rFonts w:eastAsia="Times New Roman" w:cs="Times New Roman"/>
          <w:bCs/>
          <w:szCs w:val="26"/>
          <w:lang w:eastAsia="x-none"/>
        </w:rPr>
        <w:t>(Zamawiającego);</w:t>
      </w:r>
    </w:p>
    <w:p w14:paraId="508C1620" w14:textId="77777777" w:rsidR="0036258F" w:rsidRPr="00516E65" w:rsidRDefault="0036258F" w:rsidP="00BC1468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gwarancja (poręczenie) powinny spełniać wymogi określone we właściwych przepisach. Powyższe warunki muszą wynikać z treści gwarancji lub poręczenia.</w:t>
      </w:r>
    </w:p>
    <w:p w14:paraId="2939A065" w14:textId="77777777" w:rsidR="0036258F" w:rsidRPr="00F35053" w:rsidRDefault="0036258F" w:rsidP="0036258F">
      <w:pPr>
        <w:keepNext/>
        <w:numPr>
          <w:ilvl w:val="0"/>
          <w:numId w:val="7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lastRenderedPageBreak/>
        <w:t xml:space="preserve">Jeżeli wadium jest wnoszone w formie gwarancji lub </w:t>
      </w:r>
      <w:r w:rsidRPr="00F35053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poręczenia, o którym mowa w ust. 2 pkt 2, Wykonawca przekazuje Zamawiającemu oryginał gwarancji lub poręczenia w postaci elektronicznej.</w:t>
      </w:r>
    </w:p>
    <w:p w14:paraId="22CB0335" w14:textId="77777777" w:rsidR="0036258F" w:rsidRPr="00F35053" w:rsidRDefault="0036258F" w:rsidP="0036258F">
      <w:pPr>
        <w:keepNext/>
        <w:numPr>
          <w:ilvl w:val="0"/>
          <w:numId w:val="7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F35053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Wadium a termin związania ofertą.</w:t>
      </w:r>
    </w:p>
    <w:p w14:paraId="6146CACA" w14:textId="77777777" w:rsidR="0036258F" w:rsidRPr="00516E65" w:rsidRDefault="0036258F" w:rsidP="0036258F">
      <w:pPr>
        <w:ind w:left="567" w:firstLine="0"/>
        <w:rPr>
          <w:rFonts w:eastAsia="Palatino Linotype" w:cs="Times New Roman"/>
        </w:rPr>
      </w:pPr>
      <w:r w:rsidRPr="00516E65">
        <w:rPr>
          <w:rFonts w:eastAsia="Palatino Linotype" w:cs="Times New Roman"/>
        </w:rPr>
        <w:t>Wadium, bez względu na sposób jego wniesienia, musi obejmować cały okres związania ofertą, o którym mowa w rozdziale XII SWZ. Przedłużenie terminu związania ofertą jest dopuszczalne tylko z jednoczesnym przedłużeniem okresu ważności wadium albo, jeżeli nie jest to możliwe, z wniesieniem nowego wadium na przedłużony okres związania ofertą.</w:t>
      </w:r>
    </w:p>
    <w:p w14:paraId="73DE8C9C" w14:textId="77777777" w:rsidR="0036258F" w:rsidRPr="00516E65" w:rsidRDefault="0036258F" w:rsidP="0036258F">
      <w:pPr>
        <w:keepNext/>
        <w:numPr>
          <w:ilvl w:val="0"/>
          <w:numId w:val="7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Zasady zwrotu i zatrzymania wadium.</w:t>
      </w:r>
    </w:p>
    <w:p w14:paraId="3BC525B9" w14:textId="77777777" w:rsidR="0036258F" w:rsidRPr="00516E65" w:rsidRDefault="0036258F" w:rsidP="0036258F">
      <w:pPr>
        <w:spacing w:before="40" w:after="40"/>
        <w:ind w:left="567" w:firstLine="0"/>
        <w:contextualSpacing/>
        <w:rPr>
          <w:rFonts w:eastAsia="Palatino Linotype" w:cs="Arial"/>
          <w:szCs w:val="20"/>
          <w:lang w:eastAsia="pl-PL"/>
        </w:rPr>
      </w:pPr>
      <w:r w:rsidRPr="00516E65">
        <w:rPr>
          <w:rFonts w:eastAsia="Palatino Linotype" w:cs="Arial"/>
          <w:szCs w:val="20"/>
          <w:lang w:eastAsia="pl-PL"/>
        </w:rPr>
        <w:t xml:space="preserve">Okoliczności i zasady zwrotu wadium z urzędu oraz na wniosek, zostały opisane w art. 98 ust. 1 pkt 1 – 5 ustawy </w:t>
      </w:r>
      <w:proofErr w:type="spellStart"/>
      <w:r w:rsidRPr="00516E65">
        <w:rPr>
          <w:rFonts w:eastAsia="Palatino Linotype" w:cs="Arial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szCs w:val="20"/>
          <w:lang w:eastAsia="pl-PL"/>
        </w:rPr>
        <w:t xml:space="preserve">. Podstawy oraz tryb zatrzymania wadium określa przepis art. 98 ust. 1 pkt 6 ustawy </w:t>
      </w:r>
      <w:proofErr w:type="spellStart"/>
      <w:r w:rsidRPr="00516E65">
        <w:rPr>
          <w:rFonts w:eastAsia="Palatino Linotype" w:cs="Arial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szCs w:val="20"/>
          <w:lang w:eastAsia="pl-PL"/>
        </w:rPr>
        <w:t>.</w:t>
      </w:r>
    </w:p>
    <w:p w14:paraId="4043A489" w14:textId="30ABA657" w:rsidR="00F85C46" w:rsidRPr="00E054BA" w:rsidRDefault="004B4CE9" w:rsidP="00E1454C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BC1468">
      <w:pPr>
        <w:pStyle w:val="Nagwek2"/>
        <w:numPr>
          <w:ilvl w:val="0"/>
          <w:numId w:val="14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BC1468">
      <w:pPr>
        <w:pStyle w:val="Nagwek3"/>
        <w:numPr>
          <w:ilvl w:val="0"/>
          <w:numId w:val="4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0AB691B5" w:rsidR="00D05F0F" w:rsidRPr="00ED6871" w:rsidRDefault="00D05F0F" w:rsidP="00BC1468">
      <w:pPr>
        <w:pStyle w:val="Nagwek3"/>
        <w:numPr>
          <w:ilvl w:val="0"/>
          <w:numId w:val="15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5CF893A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301EA8" w:rsidRPr="000F1B1F">
        <w:t xml:space="preserve">mgr </w:t>
      </w:r>
      <w:r w:rsidR="00BF1C1E">
        <w:t>inż. Artur Baran</w:t>
      </w:r>
      <w:r w:rsidR="00301EA8" w:rsidRPr="000F1B1F">
        <w:t>, mgr</w:t>
      </w:r>
      <w:r w:rsidR="0033333B" w:rsidRPr="000F1B1F">
        <w:t xml:space="preserve"> </w:t>
      </w:r>
      <w:r w:rsidR="00BF1C1E">
        <w:t>Ewa Słowik,</w:t>
      </w:r>
      <w:r w:rsidR="00301EA8" w:rsidRPr="000F1B1F">
        <w:t xml:space="preserve"> mgr</w:t>
      </w:r>
      <w:r w:rsidR="00726157" w:rsidRPr="000F1B1F">
        <w:t> </w:t>
      </w:r>
      <w:r w:rsidR="0033333B" w:rsidRPr="000F1B1F">
        <w:t>Aneta Szturc-Krawczyk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BC1468">
      <w:pPr>
        <w:pStyle w:val="Nagwek3"/>
        <w:numPr>
          <w:ilvl w:val="0"/>
          <w:numId w:val="16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BC1468">
      <w:pPr>
        <w:pStyle w:val="Nagwek4"/>
        <w:numPr>
          <w:ilvl w:val="0"/>
          <w:numId w:val="17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lastRenderedPageBreak/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BC1468">
      <w:pPr>
        <w:pStyle w:val="Nagwek4"/>
        <w:numPr>
          <w:ilvl w:val="0"/>
          <w:numId w:val="18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0715B9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41C40B6" w:rsidR="003439DD" w:rsidRDefault="003439DD" w:rsidP="00BC1468">
      <w:pPr>
        <w:pStyle w:val="Nagwek3"/>
        <w:numPr>
          <w:ilvl w:val="0"/>
          <w:numId w:val="19"/>
        </w:numPr>
        <w:ind w:left="851" w:hanging="284"/>
      </w:pPr>
      <w:bookmarkStart w:id="21" w:name="_wp2umuqo1p7z" w:colFirst="0" w:colLast="0"/>
      <w:bookmarkEnd w:id="21"/>
      <w:r w:rsidRPr="003439DD">
        <w:t xml:space="preserve">Formaty plików wykorzystywanych przez wykonawców powinny być zgodne z Rozporządzeniem Rady Ministrów z dnia 12 </w:t>
      </w:r>
      <w:r w:rsidR="001B54E2">
        <w:t>maja</w:t>
      </w:r>
      <w:r w:rsidRPr="003439DD">
        <w:t xml:space="preserve"> 20</w:t>
      </w:r>
      <w:r w:rsidR="001B54E2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</w:t>
      </w:r>
      <w:r w:rsidR="001B54E2">
        <w:t>24</w:t>
      </w:r>
      <w:r w:rsidR="005A19CF">
        <w:t xml:space="preserve"> r. </w:t>
      </w:r>
      <w:r w:rsidR="001B54E2">
        <w:t>773</w:t>
      </w:r>
      <w:r w:rsidR="005A19CF">
        <w:t>)</w:t>
      </w:r>
      <w:r>
        <w:t>;</w:t>
      </w:r>
    </w:p>
    <w:p w14:paraId="3D510C22" w14:textId="161A87C4" w:rsidR="00D05F0F" w:rsidRPr="00D05F0F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BC146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BC146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BC146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BC146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2" w:name="_Toc66169493"/>
      <w:r>
        <w:t>Opis sposobu przygotowania ofert.</w:t>
      </w:r>
      <w:bookmarkEnd w:id="22"/>
    </w:p>
    <w:p w14:paraId="5F379EB3" w14:textId="44C82CE4" w:rsidR="00C540B8" w:rsidRDefault="00C540B8" w:rsidP="00BC1468">
      <w:pPr>
        <w:pStyle w:val="Nagwek2"/>
        <w:numPr>
          <w:ilvl w:val="0"/>
          <w:numId w:val="20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41FE5F9" w:rsidR="00C540B8" w:rsidRDefault="00C540B8" w:rsidP="00BC1468">
      <w:pPr>
        <w:pStyle w:val="Nagwek3"/>
        <w:numPr>
          <w:ilvl w:val="0"/>
          <w:numId w:val="21"/>
        </w:numPr>
        <w:ind w:left="851" w:hanging="284"/>
      </w:pPr>
      <w:r w:rsidRPr="00C540B8">
        <w:t xml:space="preserve">Wykonawca może złożyć tylko jedną ofertę w </w:t>
      </w:r>
      <w:r w:rsidR="003D5F5C">
        <w:t>niniejszym postępowaniu.</w:t>
      </w:r>
    </w:p>
    <w:p w14:paraId="4849800E" w14:textId="0B5371BA" w:rsidR="008B0002" w:rsidRDefault="008B0002" w:rsidP="00BC146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BC1468">
      <w:pPr>
        <w:pStyle w:val="Nagwek3"/>
        <w:numPr>
          <w:ilvl w:val="0"/>
          <w:numId w:val="54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 xml:space="preserve">udzielenie </w:t>
      </w:r>
      <w:r w:rsidRPr="00A57F79">
        <w:lastRenderedPageBreak/>
        <w:t>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BC146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BC146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BC1468">
      <w:pPr>
        <w:pStyle w:val="Nagwek3"/>
        <w:numPr>
          <w:ilvl w:val="0"/>
          <w:numId w:val="54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BC1468">
      <w:pPr>
        <w:pStyle w:val="Nagwek3"/>
        <w:numPr>
          <w:ilvl w:val="0"/>
          <w:numId w:val="5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5177DBEB" w:rsidR="00297EB3" w:rsidRPr="00297EB3" w:rsidRDefault="00297EB3" w:rsidP="00BC1468">
      <w:pPr>
        <w:pStyle w:val="Nagwek3"/>
        <w:numPr>
          <w:ilvl w:val="0"/>
          <w:numId w:val="5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 xml:space="preserve">inne dokumenty lub oświadczenia wymagane </w:t>
      </w:r>
      <w:r w:rsidR="008D046A">
        <w:t>w 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BC1468">
      <w:pPr>
        <w:pStyle w:val="Nagwek3"/>
        <w:numPr>
          <w:ilvl w:val="0"/>
          <w:numId w:val="5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BC1468">
      <w:pPr>
        <w:pStyle w:val="Nagwek4"/>
        <w:numPr>
          <w:ilvl w:val="0"/>
          <w:numId w:val="22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lastRenderedPageBreak/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BC1468">
      <w:pPr>
        <w:pStyle w:val="Nagwek3"/>
        <w:numPr>
          <w:ilvl w:val="0"/>
          <w:numId w:val="54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BC1468">
      <w:pPr>
        <w:pStyle w:val="Nagwek3"/>
        <w:numPr>
          <w:ilvl w:val="0"/>
          <w:numId w:val="5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BC1468">
      <w:pPr>
        <w:pStyle w:val="Nagwek3"/>
        <w:numPr>
          <w:ilvl w:val="0"/>
          <w:numId w:val="5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BC1468">
      <w:pPr>
        <w:pStyle w:val="Nagwek3"/>
        <w:numPr>
          <w:ilvl w:val="0"/>
          <w:numId w:val="5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BC1468">
      <w:pPr>
        <w:pStyle w:val="Nagwek3"/>
        <w:numPr>
          <w:ilvl w:val="0"/>
          <w:numId w:val="5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16FCB57B" w:rsidR="00871CE0" w:rsidRDefault="00002F1C" w:rsidP="00BC1468">
      <w:pPr>
        <w:pStyle w:val="Nagwek3"/>
        <w:numPr>
          <w:ilvl w:val="0"/>
          <w:numId w:val="54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B869AD">
        <w:t xml:space="preserve">) z podaniem </w:t>
      </w:r>
      <w:r w:rsidR="00EB2BA0" w:rsidRPr="00EB2BA0">
        <w:t>wartości  netto</w:t>
      </w:r>
      <w:r w:rsidR="00660EA0">
        <w:t xml:space="preserve"> każdej wycenionej publikacji</w:t>
      </w:r>
      <w:r w:rsidR="00EB2BA0" w:rsidRPr="00EB2BA0">
        <w:t>,</w:t>
      </w:r>
      <w:r w:rsidR="00660EA0">
        <w:t xml:space="preserve"> łącznej wartości netto,</w:t>
      </w:r>
      <w:r w:rsidR="00EB2BA0" w:rsidRPr="00EB2BA0">
        <w:t xml:space="preserve"> stawki i doliczonej wartości podatku VAT, ceny brutto za przedmiot zamówienia, a także termin</w:t>
      </w:r>
      <w:r w:rsidR="00B869AD">
        <w:t>u realizacji zamówienia</w:t>
      </w:r>
      <w:r w:rsidR="00EB2BA0" w:rsidRPr="00EB2BA0">
        <w:t>, warunków realizacji zamówienia.</w:t>
      </w:r>
    </w:p>
    <w:p w14:paraId="1C38637A" w14:textId="77777777" w:rsidR="00451B71" w:rsidRDefault="00451B71" w:rsidP="00451B71">
      <w:pPr>
        <w:pStyle w:val="Nagwek3"/>
        <w:numPr>
          <w:ilvl w:val="0"/>
          <w:numId w:val="12"/>
        </w:numPr>
        <w:ind w:left="851" w:hanging="284"/>
        <w:rPr>
          <w:b/>
        </w:rPr>
      </w:pPr>
      <w:bookmarkStart w:id="23" w:name="_Hlk150241217"/>
      <w:r w:rsidRPr="00EB2BA0">
        <w:rPr>
          <w:b/>
        </w:rPr>
        <w:t xml:space="preserve">Czas aktywacji dostępu do bazy </w:t>
      </w:r>
      <w:bookmarkEnd w:id="23"/>
      <w:r w:rsidRPr="00EB2BA0">
        <w:rPr>
          <w:b/>
        </w:rPr>
        <w:t>(dostarczenia potwierdzenia rejestracji usługi) należy podać liczbowo i słownie. W przypadku rozbieżności pomiędzy zapisem liczbowym a zapisem słownym, Zamawiający przyjmie zapis podany słownie</w:t>
      </w:r>
      <w:r>
        <w:rPr>
          <w:b/>
        </w:rPr>
        <w:t>.</w:t>
      </w:r>
    </w:p>
    <w:p w14:paraId="3A4CFDA9" w14:textId="3904BB8B" w:rsidR="00451B71" w:rsidRPr="001B54E2" w:rsidRDefault="00451B71" w:rsidP="00451B71">
      <w:pPr>
        <w:numPr>
          <w:ilvl w:val="0"/>
          <w:numId w:val="12"/>
        </w:numPr>
        <w:ind w:left="851" w:hanging="284"/>
        <w:contextualSpacing/>
        <w:outlineLvl w:val="2"/>
      </w:pPr>
      <w:r w:rsidRPr="003C0605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</w:t>
      </w:r>
      <w:r>
        <w:rPr>
          <w:rFonts w:eastAsia="Times New Roman" w:cs="Times New Roman"/>
          <w:b/>
          <w:bCs/>
          <w:szCs w:val="26"/>
          <w:lang w:eastAsia="x-none"/>
        </w:rPr>
        <w:t>c</w:t>
      </w:r>
      <w:r w:rsidRPr="0001718C">
        <w:rPr>
          <w:rFonts w:eastAsia="Times New Roman" w:cs="Times New Roman"/>
          <w:b/>
          <w:bCs/>
          <w:szCs w:val="26"/>
          <w:lang w:eastAsia="x-none"/>
        </w:rPr>
        <w:t>zas</w:t>
      </w:r>
      <w:r>
        <w:rPr>
          <w:rFonts w:eastAsia="Times New Roman" w:cs="Times New Roman"/>
          <w:b/>
          <w:bCs/>
          <w:szCs w:val="26"/>
          <w:lang w:eastAsia="x-none"/>
        </w:rPr>
        <w:t>u</w:t>
      </w:r>
      <w:r w:rsidRPr="0001718C">
        <w:rPr>
          <w:rFonts w:eastAsia="Times New Roman" w:cs="Times New Roman"/>
          <w:b/>
          <w:bCs/>
          <w:szCs w:val="26"/>
          <w:lang w:eastAsia="x-none"/>
        </w:rPr>
        <w:t xml:space="preserve"> aktywacji dostępu do bazy</w:t>
      </w:r>
      <w:r w:rsidR="001B54E2">
        <w:rPr>
          <w:rFonts w:eastAsia="Times New Roman" w:cs="Times New Roman"/>
          <w:b/>
          <w:bCs/>
          <w:szCs w:val="26"/>
          <w:lang w:eastAsia="x-none"/>
        </w:rPr>
        <w:t xml:space="preserve"> </w:t>
      </w:r>
      <w:r w:rsidRPr="003C0605">
        <w:rPr>
          <w:rFonts w:eastAsia="Times New Roman" w:cs="Times New Roman"/>
          <w:b/>
          <w:bCs/>
          <w:szCs w:val="26"/>
          <w:lang w:eastAsia="x-none"/>
        </w:rPr>
        <w:t xml:space="preserve">– oferta zostanie odrzucona jako niezgodna z warunkami zamówienia na podstawie art. 226 ust. 1 pkt 5 ustawy </w:t>
      </w:r>
      <w:proofErr w:type="spellStart"/>
      <w:r w:rsidRPr="003C0605">
        <w:rPr>
          <w:rFonts w:eastAsia="Times New Roman" w:cs="Times New Roman"/>
          <w:b/>
          <w:bCs/>
          <w:szCs w:val="26"/>
          <w:lang w:eastAsia="x-none"/>
        </w:rPr>
        <w:t>Pzp</w:t>
      </w:r>
      <w:proofErr w:type="spellEnd"/>
      <w:r w:rsidRPr="003C0605">
        <w:rPr>
          <w:rFonts w:eastAsia="Times New Roman" w:cs="Times New Roman"/>
          <w:b/>
          <w:bCs/>
          <w:szCs w:val="26"/>
          <w:lang w:eastAsia="x-none"/>
        </w:rPr>
        <w:t>;</w:t>
      </w:r>
    </w:p>
    <w:p w14:paraId="684ABA4B" w14:textId="29F5C049" w:rsidR="001B54E2" w:rsidRPr="0001718C" w:rsidRDefault="001B54E2" w:rsidP="001B54E2">
      <w:pPr>
        <w:numPr>
          <w:ilvl w:val="0"/>
          <w:numId w:val="12"/>
        </w:numPr>
        <w:ind w:left="851" w:hanging="284"/>
        <w:contextualSpacing/>
        <w:outlineLvl w:val="2"/>
      </w:pPr>
      <w:r w:rsidRPr="003C0605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</w:t>
      </w:r>
      <w:r>
        <w:rPr>
          <w:rFonts w:eastAsia="Times New Roman" w:cs="Times New Roman"/>
          <w:b/>
          <w:bCs/>
          <w:szCs w:val="26"/>
          <w:lang w:eastAsia="x-none"/>
        </w:rPr>
        <w:t xml:space="preserve">fakultatywnego szkolenia </w:t>
      </w:r>
      <w:r w:rsidRPr="003C0605">
        <w:rPr>
          <w:rFonts w:eastAsia="Times New Roman" w:cs="Times New Roman"/>
          <w:b/>
          <w:bCs/>
          <w:szCs w:val="26"/>
          <w:lang w:eastAsia="x-none"/>
        </w:rPr>
        <w:t xml:space="preserve">– </w:t>
      </w:r>
      <w:r>
        <w:rPr>
          <w:rFonts w:eastAsia="Times New Roman" w:cs="Times New Roman"/>
          <w:b/>
          <w:bCs/>
          <w:szCs w:val="26"/>
          <w:lang w:eastAsia="x-none"/>
        </w:rPr>
        <w:t xml:space="preserve">Zamawiający uzna, że Wykonawca nie oferuje fakultatywnego szkolenia. </w:t>
      </w:r>
    </w:p>
    <w:p w14:paraId="1D73CE36" w14:textId="72AD85D5" w:rsidR="00C540B8" w:rsidRDefault="00915A9C" w:rsidP="00BC1468">
      <w:pPr>
        <w:pStyle w:val="Nagwek3"/>
        <w:numPr>
          <w:ilvl w:val="0"/>
          <w:numId w:val="54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lastRenderedPageBreak/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46C6427F" w:rsidR="00A57F79" w:rsidRPr="00A57F79" w:rsidRDefault="00A57F79" w:rsidP="00BC1468">
      <w:pPr>
        <w:pStyle w:val="Nagwek3"/>
        <w:numPr>
          <w:ilvl w:val="0"/>
          <w:numId w:val="23"/>
        </w:numPr>
        <w:ind w:left="851" w:hanging="284"/>
      </w:pPr>
      <w:r>
        <w:t>C</w:t>
      </w:r>
      <w:r w:rsidRPr="00A57F79">
        <w:t>ena podana w ofercie</w:t>
      </w:r>
      <w:r w:rsidR="008548AF">
        <w:t xml:space="preserve"> 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4" w:name="_Hlk65747349"/>
      <w:r w:rsidR="007372CC" w:rsidRPr="007372CC">
        <w:t>koszt dostępu do baz danych, opłaty licencyjne, koszt szkolenia</w:t>
      </w:r>
      <w:r w:rsidR="007372CC" w:rsidRPr="007372CC">
        <w:rPr>
          <w:vertAlign w:val="superscript"/>
        </w:rPr>
        <w:footnoteReference w:id="1"/>
      </w:r>
      <w:r w:rsidR="007372CC" w:rsidRPr="007372CC">
        <w:t>, a także koszty ogólne, wszelkie podatki, opłaty i inne należności płatne przez Wykonawcę, jak również wszelkie elementy ryzyka związane z realizacją zadania oraz zysk Wykonawcy.</w:t>
      </w:r>
      <w:bookmarkEnd w:id="24"/>
    </w:p>
    <w:p w14:paraId="50592B54" w14:textId="59028481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EF1CF17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A9008D">
        <w:t>2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BC1468">
      <w:pPr>
        <w:pStyle w:val="Nagwek3"/>
        <w:numPr>
          <w:ilvl w:val="0"/>
          <w:numId w:val="5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BC1468">
      <w:pPr>
        <w:pStyle w:val="Nagwek3"/>
        <w:numPr>
          <w:ilvl w:val="0"/>
          <w:numId w:val="24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</w:t>
      </w:r>
      <w:r>
        <w:lastRenderedPageBreak/>
        <w:t>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BC1468">
      <w:pPr>
        <w:pStyle w:val="Nagwek3"/>
        <w:numPr>
          <w:ilvl w:val="0"/>
          <w:numId w:val="54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BC1468">
      <w:pPr>
        <w:pStyle w:val="Nagwek3"/>
        <w:numPr>
          <w:ilvl w:val="0"/>
          <w:numId w:val="54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5" w:name="_Toc66169494"/>
      <w:r>
        <w:t>Sposób oraz termin składania ofert.</w:t>
      </w:r>
      <w:bookmarkEnd w:id="25"/>
    </w:p>
    <w:p w14:paraId="3FE1B093" w14:textId="7502386F" w:rsidR="0031115A" w:rsidRPr="00B869AD" w:rsidRDefault="0031115A" w:rsidP="00BC1468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B869AD">
        <w:rPr>
          <w:rFonts w:eastAsia="Calibri"/>
        </w:rPr>
        <w:t>Termin złożenia oferty.</w:t>
      </w:r>
    </w:p>
    <w:p w14:paraId="713BF31B" w14:textId="3ABC255E" w:rsidR="0031115A" w:rsidRPr="00B869AD" w:rsidRDefault="0031115A" w:rsidP="00B173C4">
      <w:pPr>
        <w:ind w:left="567" w:firstLine="0"/>
        <w:rPr>
          <w:lang w:eastAsia="x-none"/>
        </w:rPr>
      </w:pPr>
      <w:r w:rsidRPr="00B869AD">
        <w:rPr>
          <w:lang w:eastAsia="x-none"/>
        </w:rPr>
        <w:t xml:space="preserve">Ofertę wraz z wymaganymi dokumentami należy złożyć w nieprzekraczalnym terminie </w:t>
      </w:r>
      <w:r w:rsidR="008D046A">
        <w:rPr>
          <w:b/>
          <w:lang w:eastAsia="x-none"/>
        </w:rPr>
        <w:t xml:space="preserve">do dnia </w:t>
      </w:r>
      <w:r w:rsidR="000715B9">
        <w:rPr>
          <w:b/>
          <w:lang w:eastAsia="x-none"/>
        </w:rPr>
        <w:t>06.12.</w:t>
      </w:r>
      <w:r w:rsidR="003D5F5C">
        <w:rPr>
          <w:b/>
          <w:lang w:eastAsia="x-none"/>
        </w:rPr>
        <w:t>202</w:t>
      </w:r>
      <w:r w:rsidR="001B54E2">
        <w:rPr>
          <w:b/>
          <w:lang w:eastAsia="x-none"/>
        </w:rPr>
        <w:t>4</w:t>
      </w:r>
      <w:r w:rsidR="00D3431A" w:rsidRPr="00B869AD">
        <w:rPr>
          <w:b/>
          <w:lang w:eastAsia="x-none"/>
        </w:rPr>
        <w:t xml:space="preserve"> r.</w:t>
      </w:r>
      <w:r w:rsidRPr="00B869AD">
        <w:rPr>
          <w:b/>
          <w:lang w:eastAsia="x-none"/>
        </w:rPr>
        <w:t xml:space="preserve">, do godziny </w:t>
      </w:r>
      <w:r w:rsidR="00451B71">
        <w:rPr>
          <w:b/>
          <w:lang w:eastAsia="x-none"/>
        </w:rPr>
        <w:t>09</w:t>
      </w:r>
      <w:r w:rsidR="00D3431A" w:rsidRPr="00B869AD">
        <w:rPr>
          <w:b/>
          <w:lang w:eastAsia="x-none"/>
        </w:rPr>
        <w:t>:00</w:t>
      </w:r>
      <w:r w:rsidRPr="00B869AD">
        <w:rPr>
          <w:b/>
          <w:lang w:eastAsia="x-none"/>
        </w:rPr>
        <w:t>.</w:t>
      </w:r>
      <w:r w:rsidR="00D3431A" w:rsidRPr="00B869AD">
        <w:rPr>
          <w:lang w:eastAsia="x-none"/>
        </w:rPr>
        <w:t xml:space="preserve"> </w:t>
      </w:r>
      <w:r w:rsidRPr="00B869AD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B869AD">
        <w:rPr>
          <w:lang w:eastAsia="x-none"/>
        </w:rPr>
        <w:t>Pzp</w:t>
      </w:r>
      <w:proofErr w:type="spellEnd"/>
      <w:r w:rsidRPr="00B869AD">
        <w:rPr>
          <w:lang w:eastAsia="x-none"/>
        </w:rPr>
        <w:t>.</w:t>
      </w:r>
    </w:p>
    <w:p w14:paraId="6B72825F" w14:textId="00874A8F" w:rsidR="00B173C4" w:rsidRPr="00B869AD" w:rsidRDefault="00B173C4" w:rsidP="00B76598">
      <w:pPr>
        <w:pStyle w:val="Nagwek2"/>
        <w:ind w:left="567" w:hanging="283"/>
        <w:rPr>
          <w:rFonts w:eastAsia="Calibri"/>
        </w:rPr>
      </w:pPr>
      <w:r w:rsidRPr="00B869AD">
        <w:rPr>
          <w:rFonts w:eastAsia="Calibri"/>
        </w:rPr>
        <w:t>Sposób złożenia oferty.</w:t>
      </w:r>
    </w:p>
    <w:p w14:paraId="0BEB3DAD" w14:textId="7E9DDAE1" w:rsidR="00B173C4" w:rsidRPr="00B869AD" w:rsidRDefault="00B173C4" w:rsidP="00BC1468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B869AD">
        <w:rPr>
          <w:rFonts w:eastAsia="Arial Unicode MS"/>
        </w:rPr>
        <w:t>Ofertę oraz wszelkie</w:t>
      </w:r>
      <w:r w:rsidR="00A0368D" w:rsidRPr="00B869AD">
        <w:rPr>
          <w:rFonts w:eastAsia="Arial Unicode MS"/>
        </w:rPr>
        <w:t xml:space="preserve"> wymagane w SWZ</w:t>
      </w:r>
      <w:r w:rsidRPr="00B869AD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B869AD">
        <w:rPr>
          <w:rFonts w:eastAsia="Arial Unicode MS"/>
        </w:rPr>
        <w:t xml:space="preserve">rt. 68 ustawy </w:t>
      </w:r>
      <w:proofErr w:type="spellStart"/>
      <w:r w:rsidR="00A62983" w:rsidRPr="00B869AD">
        <w:rPr>
          <w:rFonts w:eastAsia="Arial Unicode MS"/>
        </w:rPr>
        <w:t>Pzp</w:t>
      </w:r>
      <w:proofErr w:type="spellEnd"/>
      <w:r w:rsidRPr="00B869AD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B869A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B869AD">
        <w:rPr>
          <w:rFonts w:eastAsia="Arial Unicode MS"/>
        </w:rPr>
        <w:t>;</w:t>
      </w:r>
    </w:p>
    <w:p w14:paraId="46FE998E" w14:textId="1AAC4F70" w:rsidR="0031115A" w:rsidRPr="00B869AD" w:rsidRDefault="0031115A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Ofertę wraz z wymaganymi dokumentami należy umieścić na </w:t>
      </w:r>
      <w:hyperlink r:id="rId26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Pr="00B869AD">
        <w:rPr>
          <w:rFonts w:eastAsia="Calibri"/>
        </w:rPr>
        <w:t xml:space="preserve"> pod adresem</w:t>
      </w:r>
      <w:r w:rsidR="00BB50C1" w:rsidRPr="00B869AD">
        <w:rPr>
          <w:rFonts w:eastAsia="Calibri"/>
        </w:rPr>
        <w:t xml:space="preserve">: </w:t>
      </w:r>
      <w:hyperlink r:id="rId27" w:history="1">
        <w:r w:rsidR="00BB50C1" w:rsidRPr="00B869AD">
          <w:rPr>
            <w:rStyle w:val="Hipercze"/>
            <w:rFonts w:eastAsia="Calibri"/>
          </w:rPr>
          <w:t>https://platformazakupowa.pl/pn/us</w:t>
        </w:r>
      </w:hyperlink>
      <w:r w:rsidR="00B173C4" w:rsidRPr="00B869AD">
        <w:rPr>
          <w:rFonts w:eastAsia="Calibri"/>
        </w:rPr>
        <w:t xml:space="preserve"> do upływu terminu składania ofert, o któ</w:t>
      </w:r>
      <w:r w:rsidR="00A0368D" w:rsidRPr="00B869AD">
        <w:rPr>
          <w:rFonts w:eastAsia="Calibri"/>
        </w:rPr>
        <w:t>rym mowa w ust. 1;</w:t>
      </w:r>
    </w:p>
    <w:p w14:paraId="6086E4D3" w14:textId="11F79AB1" w:rsidR="0031115A" w:rsidRPr="00B869AD" w:rsidRDefault="0031115A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Po wypełnieniu Formula</w:t>
      </w:r>
      <w:r w:rsidR="00584E90" w:rsidRPr="00B869AD">
        <w:rPr>
          <w:rFonts w:eastAsia="Calibri"/>
        </w:rPr>
        <w:t>rza składania oferty</w:t>
      </w:r>
      <w:r w:rsidRPr="00B869AD">
        <w:rPr>
          <w:rFonts w:eastAsia="Calibri"/>
        </w:rPr>
        <w:t xml:space="preserve"> i dołączenia wszystkich wymaganych załączników</w:t>
      </w:r>
      <w:r w:rsidR="00584E90" w:rsidRPr="00B869AD">
        <w:rPr>
          <w:rFonts w:eastAsia="Calibri"/>
        </w:rPr>
        <w:t>,</w:t>
      </w:r>
      <w:r w:rsidRPr="00B869AD">
        <w:rPr>
          <w:rFonts w:eastAsia="Calibri"/>
        </w:rPr>
        <w:t xml:space="preserve"> należy kliknąć prz</w:t>
      </w:r>
      <w:r w:rsidR="00584E90" w:rsidRPr="00B869AD">
        <w:rPr>
          <w:rFonts w:eastAsia="Calibri"/>
        </w:rPr>
        <w:t>ycisk „Przejdź do podsumowania”;</w:t>
      </w:r>
    </w:p>
    <w:p w14:paraId="32055423" w14:textId="642A25E1" w:rsidR="0031115A" w:rsidRPr="00B869AD" w:rsidRDefault="0031115A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O</w:t>
      </w:r>
      <w:r w:rsidR="00584E90" w:rsidRPr="00B869AD">
        <w:rPr>
          <w:rFonts w:eastAsia="Calibri"/>
        </w:rPr>
        <w:t xml:space="preserve">ferta </w:t>
      </w:r>
      <w:r w:rsidRPr="00B869AD">
        <w:rPr>
          <w:rFonts w:eastAsia="Calibri"/>
        </w:rPr>
        <w:t>składana elektronicznie musi zostać podpisana elektronicznym p</w:t>
      </w:r>
      <w:r w:rsidR="00584E90" w:rsidRPr="00B869AD">
        <w:rPr>
          <w:rFonts w:eastAsia="Calibri"/>
        </w:rPr>
        <w:t>odpisem kwalifikowanym</w:t>
      </w:r>
      <w:r w:rsidR="00C12F23" w:rsidRPr="00B869AD">
        <w:rPr>
          <w:rFonts w:eastAsia="Calibri"/>
        </w:rPr>
        <w:t xml:space="preserve">, podpisem zaufanym lub podpisem osobistym. </w:t>
      </w:r>
      <w:r w:rsidRPr="00B869AD">
        <w:rPr>
          <w:rFonts w:eastAsia="Calibri"/>
        </w:rPr>
        <w:t xml:space="preserve">W procesie składania oferty za pośrednictwem </w:t>
      </w:r>
      <w:hyperlink r:id="rId28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Pr="00B869AD">
        <w:rPr>
          <w:rFonts w:eastAsia="Calibri"/>
        </w:rPr>
        <w:t xml:space="preserve">, </w:t>
      </w:r>
      <w:r w:rsidR="00FD113E" w:rsidRPr="00B869AD">
        <w:rPr>
          <w:rFonts w:eastAsia="Calibri"/>
        </w:rPr>
        <w:t>W</w:t>
      </w:r>
      <w:r w:rsidRPr="00B869AD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="00584E90" w:rsidRPr="00B869AD">
        <w:rPr>
          <w:rFonts w:eastAsia="Calibri"/>
        </w:rPr>
        <w:t>. Zalecane jest</w:t>
      </w:r>
      <w:r w:rsidRPr="00B869AD">
        <w:rPr>
          <w:rFonts w:eastAsia="Calibri"/>
        </w:rPr>
        <w:t xml:space="preserve"> stosowanie podpisu na każdym załączonym pliku oso</w:t>
      </w:r>
      <w:r w:rsidR="00584E90" w:rsidRPr="00B869AD">
        <w:rPr>
          <w:rFonts w:eastAsia="Calibri"/>
        </w:rPr>
        <w:t>bno;</w:t>
      </w:r>
    </w:p>
    <w:p w14:paraId="11798242" w14:textId="708B9444" w:rsidR="0031115A" w:rsidRPr="00B869AD" w:rsidRDefault="0031115A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B869AD">
        <w:rPr>
          <w:rFonts w:eastAsia="Calibri"/>
        </w:rPr>
        <w:t xml:space="preserve"> została zaszyfrowana i złożona;</w:t>
      </w:r>
    </w:p>
    <w:p w14:paraId="7D86D2A6" w14:textId="5EC3EFA0" w:rsidR="0031115A" w:rsidRPr="00B869AD" w:rsidRDefault="0031115A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Szczegółowa instrukcja dla Wykonawców dotycząca złożenia, zmiany i wycofania oferty</w:t>
      </w:r>
      <w:r w:rsidR="00080C23" w:rsidRPr="00B869AD">
        <w:rPr>
          <w:rFonts w:eastAsia="Calibri"/>
        </w:rPr>
        <w:t xml:space="preserve"> przed upływem terminu składania ofert</w:t>
      </w:r>
      <w:r w:rsidRPr="00B869AD">
        <w:rPr>
          <w:rFonts w:eastAsia="Calibri"/>
        </w:rPr>
        <w:t xml:space="preserve"> znajduje się na stronie internetowej pod adresem:  </w:t>
      </w:r>
      <w:hyperlink r:id="rId30">
        <w:r w:rsidRPr="00B869AD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B869AD" w:rsidRDefault="00F85C46" w:rsidP="00E1454C">
      <w:pPr>
        <w:pStyle w:val="Nagwek1"/>
      </w:pPr>
      <w:bookmarkStart w:id="26" w:name="_Toc66169495"/>
      <w:r w:rsidRPr="00B869AD">
        <w:t>Termin i tryb otwarcia ofert.</w:t>
      </w:r>
      <w:bookmarkEnd w:id="26"/>
    </w:p>
    <w:p w14:paraId="7D3146F9" w14:textId="4946C3EC" w:rsidR="0003593D" w:rsidRPr="00B869AD" w:rsidRDefault="0003593D" w:rsidP="00BC1468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B869AD">
        <w:rPr>
          <w:rFonts w:eastAsia="Calibri"/>
        </w:rPr>
        <w:t>Termin otwarcia ofert.</w:t>
      </w:r>
    </w:p>
    <w:p w14:paraId="667CC314" w14:textId="705FBC87" w:rsidR="0003593D" w:rsidRPr="00B869AD" w:rsidRDefault="0003593D" w:rsidP="00BC1468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B869AD">
        <w:rPr>
          <w:rFonts w:eastAsia="Calibri"/>
        </w:rPr>
        <w:t xml:space="preserve">składania ofert. Zamawiający dokona otwarcia ofert </w:t>
      </w:r>
      <w:r w:rsidR="009A7AB0" w:rsidRPr="00B869AD">
        <w:rPr>
          <w:rFonts w:eastAsia="Calibri"/>
          <w:b/>
        </w:rPr>
        <w:t xml:space="preserve">w dniu </w:t>
      </w:r>
      <w:r w:rsidR="000715B9">
        <w:rPr>
          <w:b/>
        </w:rPr>
        <w:t>06.12.2024</w:t>
      </w:r>
      <w:r w:rsidR="000715B9" w:rsidRPr="00B869AD">
        <w:rPr>
          <w:b/>
        </w:rPr>
        <w:t xml:space="preserve"> </w:t>
      </w:r>
      <w:r w:rsidR="00D3431A" w:rsidRPr="00B869AD">
        <w:rPr>
          <w:rFonts w:eastAsia="Calibri"/>
          <w:b/>
        </w:rPr>
        <w:t>r.</w:t>
      </w:r>
      <w:r w:rsidR="009A7AB0" w:rsidRPr="00B869AD">
        <w:rPr>
          <w:rFonts w:eastAsia="Calibri"/>
          <w:b/>
        </w:rPr>
        <w:t xml:space="preserve">, o godz. </w:t>
      </w:r>
      <w:r w:rsidR="00451B71">
        <w:rPr>
          <w:rFonts w:eastAsia="Calibri"/>
          <w:b/>
        </w:rPr>
        <w:t>09</w:t>
      </w:r>
      <w:r w:rsidR="009A7AB0" w:rsidRPr="00B869AD">
        <w:rPr>
          <w:rFonts w:eastAsia="Calibri"/>
          <w:b/>
        </w:rPr>
        <w:t>:15</w:t>
      </w:r>
      <w:r w:rsidR="009A7AB0" w:rsidRPr="00B869AD">
        <w:rPr>
          <w:rFonts w:eastAsia="Calibri"/>
        </w:rPr>
        <w:t>;</w:t>
      </w:r>
    </w:p>
    <w:p w14:paraId="31305ACC" w14:textId="6A4122A8" w:rsidR="009A7AB0" w:rsidRPr="00B869AD" w:rsidRDefault="009A7AB0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t>W przypadku awarii systemu teleinformatycznego, przy użyciu którego Zamawiają</w:t>
      </w:r>
      <w:r w:rsidR="00663D66" w:rsidRPr="00B869AD">
        <w:t>cy dokonuje otwarcia ofert, kiedy</w:t>
      </w:r>
      <w:r w:rsidRPr="00B869AD">
        <w:t xml:space="preserve"> awaria powoduje brak możliwości otwarcia ofert w terminie określonym przez Zamawiającego, otwarcie ofert nastąpi niezwłocznie po usunięciu awarii. Zamawiają</w:t>
      </w:r>
      <w:r w:rsidR="00663D66" w:rsidRPr="00B869AD">
        <w:t xml:space="preserve">cy poinformuje o wystąpieniu takiej sytuacji w </w:t>
      </w:r>
      <w:r w:rsidRPr="00B869AD">
        <w:t>stosowny</w:t>
      </w:r>
      <w:r w:rsidR="00663D66" w:rsidRPr="00B869AD">
        <w:t>m komunikacie opublikowanym</w:t>
      </w:r>
      <w:r w:rsidRPr="00B869AD">
        <w:t xml:space="preserve"> na stronie internetowej prowadzonego postępowania; </w:t>
      </w:r>
    </w:p>
    <w:p w14:paraId="5DE02BDB" w14:textId="0727EC38" w:rsidR="0003593D" w:rsidRPr="00B869AD" w:rsidRDefault="0003593D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Zamawiający </w:t>
      </w:r>
      <w:r w:rsidR="009A7AB0" w:rsidRPr="00B869AD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B869AD" w:rsidRDefault="00663D66" w:rsidP="00B76598">
      <w:pPr>
        <w:pStyle w:val="Nagwek2"/>
        <w:ind w:left="567" w:hanging="283"/>
        <w:rPr>
          <w:rFonts w:eastAsia="Calibri"/>
        </w:rPr>
      </w:pPr>
      <w:r w:rsidRPr="00B869AD">
        <w:rPr>
          <w:rFonts w:eastAsia="Calibri"/>
        </w:rPr>
        <w:t>Tryb otwarcia ofert.</w:t>
      </w:r>
    </w:p>
    <w:p w14:paraId="7BFF4CA4" w14:textId="63960BE4" w:rsidR="0003593D" w:rsidRPr="00B869AD" w:rsidRDefault="0003593D" w:rsidP="00BC1468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B869AD">
        <w:rPr>
          <w:rStyle w:val="Nagwek3Znak"/>
          <w:rFonts w:eastAsia="Calibri"/>
        </w:rPr>
        <w:t>Zamawiający, najpóźniej p</w:t>
      </w:r>
      <w:r w:rsidR="006C5845" w:rsidRPr="00B869AD">
        <w:rPr>
          <w:rStyle w:val="Nagwek3Znak"/>
          <w:rFonts w:eastAsia="Calibri"/>
        </w:rPr>
        <w:t>rzed otwarciem ofert, udostępni</w:t>
      </w:r>
      <w:r w:rsidRPr="00B869AD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B869AD" w:rsidRDefault="0003593D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Zamawiający, niezwłocznie po otwarciu ofert, udostępnia na stronie internetowej prowadzonego postępowania</w:t>
      </w:r>
      <w:r w:rsidR="00BB50C1" w:rsidRPr="00B869AD">
        <w:rPr>
          <w:rFonts w:eastAsia="Calibri"/>
        </w:rPr>
        <w:t xml:space="preserve"> -</w:t>
      </w:r>
      <w:r w:rsidR="006C5845" w:rsidRPr="00B869AD">
        <w:rPr>
          <w:rFonts w:eastAsia="Calibri"/>
        </w:rPr>
        <w:t xml:space="preserve"> </w:t>
      </w:r>
      <w:hyperlink r:id="rId31" w:history="1">
        <w:r w:rsidR="00BB50C1" w:rsidRPr="00B869AD">
          <w:rPr>
            <w:rStyle w:val="Hipercze"/>
            <w:rFonts w:eastAsia="Calibri"/>
          </w:rPr>
          <w:t>https://platformazakupowa.pl/pn/us</w:t>
        </w:r>
      </w:hyperlink>
      <w:r w:rsidR="00BB50C1" w:rsidRPr="00B869AD">
        <w:rPr>
          <w:rFonts w:eastAsia="Calibri"/>
        </w:rPr>
        <w:t xml:space="preserve"> </w:t>
      </w:r>
      <w:r w:rsidR="006C5845" w:rsidRPr="00B869AD">
        <w:rPr>
          <w:rFonts w:eastAsia="Calibri"/>
        </w:rPr>
        <w:t>w sekcji „Komunikaty”,</w:t>
      </w:r>
      <w:r w:rsidRPr="00B869AD">
        <w:rPr>
          <w:rFonts w:eastAsia="Calibri"/>
        </w:rPr>
        <w:t xml:space="preserve"> informacje o:</w:t>
      </w:r>
    </w:p>
    <w:p w14:paraId="178DADAF" w14:textId="0EE7E18A" w:rsidR="0003593D" w:rsidRPr="00B869AD" w:rsidRDefault="0003593D" w:rsidP="00BC1468">
      <w:pPr>
        <w:pStyle w:val="Nagwek4"/>
        <w:numPr>
          <w:ilvl w:val="0"/>
          <w:numId w:val="48"/>
        </w:numPr>
        <w:ind w:left="1134" w:hanging="283"/>
        <w:rPr>
          <w:rFonts w:eastAsia="Calibri"/>
        </w:rPr>
      </w:pPr>
      <w:r w:rsidRPr="00B869AD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B869AD" w:rsidRDefault="0003593D" w:rsidP="00A62983">
      <w:pPr>
        <w:pStyle w:val="Nagwek4"/>
        <w:ind w:left="1134" w:hanging="283"/>
        <w:rPr>
          <w:rFonts w:eastAsia="Calibri"/>
        </w:rPr>
      </w:pPr>
      <w:r w:rsidRPr="00B869AD">
        <w:rPr>
          <w:rFonts w:eastAsia="Calibri"/>
        </w:rPr>
        <w:t>cenach lub kosztach zawartych w ofertach.</w:t>
      </w:r>
    </w:p>
    <w:p w14:paraId="0FA0B0D8" w14:textId="730DF398" w:rsidR="0003593D" w:rsidRPr="00B869AD" w:rsidRDefault="00B1250E" w:rsidP="00BC146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Zgodnie z przepisami ustawy </w:t>
      </w:r>
      <w:proofErr w:type="spellStart"/>
      <w:r w:rsidRPr="00B869AD">
        <w:rPr>
          <w:rFonts w:eastAsia="Calibri"/>
        </w:rPr>
        <w:t>Pzp</w:t>
      </w:r>
      <w:proofErr w:type="spellEnd"/>
      <w:r w:rsidRPr="00B869AD">
        <w:rPr>
          <w:rFonts w:eastAsia="Calibri"/>
        </w:rPr>
        <w:t>,</w:t>
      </w:r>
      <w:r w:rsidR="0003593D" w:rsidRPr="00B869AD">
        <w:rPr>
          <w:rFonts w:eastAsia="Calibri"/>
        </w:rPr>
        <w:t xml:space="preserve"> Zamawiający nie ma obowiązku przeprowadzania jawnej sesji</w:t>
      </w:r>
      <w:r w:rsidRPr="00B869AD">
        <w:rPr>
          <w:rFonts w:eastAsia="Calibri"/>
        </w:rPr>
        <w:t xml:space="preserve"> otwarcia ofert</w:t>
      </w:r>
      <w:r w:rsidR="0003593D" w:rsidRPr="00B869AD">
        <w:rPr>
          <w:rFonts w:eastAsia="Calibri"/>
        </w:rPr>
        <w:t xml:space="preserve"> z udziałem wykonawców lub </w:t>
      </w:r>
      <w:r w:rsidRPr="00B869AD">
        <w:rPr>
          <w:rFonts w:eastAsia="Calibri"/>
        </w:rPr>
        <w:t>jej transmitowania</w:t>
      </w:r>
      <w:r w:rsidR="0003593D" w:rsidRPr="00B869AD">
        <w:rPr>
          <w:rFonts w:eastAsia="Calibri"/>
        </w:rPr>
        <w:t xml:space="preserve"> za pośrednictwem elektronicznych narzędzi do przekazu wideo on-line</w:t>
      </w:r>
      <w:r w:rsidRPr="00B869AD">
        <w:rPr>
          <w:rFonts w:eastAsia="Calibri"/>
        </w:rPr>
        <w:t>,</w:t>
      </w:r>
      <w:r w:rsidR="0003593D" w:rsidRPr="00B869AD">
        <w:rPr>
          <w:rFonts w:eastAsia="Calibri"/>
        </w:rPr>
        <w:t xml:space="preserve"> a ma jedynie takie uprawnienie.</w:t>
      </w:r>
    </w:p>
    <w:p w14:paraId="5C68DBA6" w14:textId="3D427F4C" w:rsidR="0003593D" w:rsidRPr="00B869AD" w:rsidRDefault="00B1250E" w:rsidP="00E1454C">
      <w:pPr>
        <w:pStyle w:val="Nagwek1"/>
      </w:pPr>
      <w:bookmarkStart w:id="27" w:name="_Toc66169496"/>
      <w:r w:rsidRPr="00B869AD">
        <w:t>Termin związania ofertą.</w:t>
      </w:r>
      <w:bookmarkEnd w:id="27"/>
      <w:r w:rsidRPr="00B869AD">
        <w:t xml:space="preserve"> </w:t>
      </w:r>
    </w:p>
    <w:p w14:paraId="2B839405" w14:textId="0FA7F6F1" w:rsidR="00D06776" w:rsidRPr="00B869AD" w:rsidRDefault="00D06776" w:rsidP="00BC1468">
      <w:pPr>
        <w:pStyle w:val="Nagwek2"/>
        <w:numPr>
          <w:ilvl w:val="0"/>
          <w:numId w:val="30"/>
        </w:numPr>
        <w:ind w:left="567" w:hanging="283"/>
      </w:pPr>
      <w:r w:rsidRPr="00B869AD">
        <w:t>Określenie terminu związania ofertą.</w:t>
      </w:r>
    </w:p>
    <w:p w14:paraId="39B93014" w14:textId="55F72B38" w:rsidR="00D06776" w:rsidRPr="00B869AD" w:rsidRDefault="00D06776" w:rsidP="00ED6871">
      <w:pPr>
        <w:pStyle w:val="Nagwek3"/>
        <w:numPr>
          <w:ilvl w:val="0"/>
          <w:numId w:val="0"/>
        </w:numPr>
        <w:ind w:left="567"/>
      </w:pPr>
      <w:r w:rsidRPr="00B869AD">
        <w:t>Wykonawca będzie związany złożoną przez siebie ofertą od dnia upływu termi</w:t>
      </w:r>
      <w:r w:rsidR="00C12F23" w:rsidRPr="00B869AD">
        <w:t>nu składania ofert przez okres 3</w:t>
      </w:r>
      <w:r w:rsidRPr="00B869AD">
        <w:t>0 dni</w:t>
      </w:r>
      <w:r w:rsidR="00782008" w:rsidRPr="00B869AD">
        <w:t xml:space="preserve"> tj. </w:t>
      </w:r>
      <w:r w:rsidR="00782008" w:rsidRPr="00B869AD">
        <w:rPr>
          <w:b/>
        </w:rPr>
        <w:t>do dnia</w:t>
      </w:r>
      <w:r w:rsidR="000715B9">
        <w:rPr>
          <w:b/>
        </w:rPr>
        <w:t xml:space="preserve"> 04.01.</w:t>
      </w:r>
      <w:r w:rsidR="003D5F5C">
        <w:rPr>
          <w:b/>
        </w:rPr>
        <w:t>202</w:t>
      </w:r>
      <w:r w:rsidR="000715B9">
        <w:rPr>
          <w:b/>
        </w:rPr>
        <w:t>5</w:t>
      </w:r>
      <w:bookmarkStart w:id="28" w:name="_GoBack"/>
      <w:bookmarkEnd w:id="28"/>
      <w:r w:rsidR="00D3431A" w:rsidRPr="00B869AD">
        <w:rPr>
          <w:b/>
        </w:rPr>
        <w:t xml:space="preserve"> r.</w:t>
      </w:r>
    </w:p>
    <w:p w14:paraId="2A2BB542" w14:textId="5D40E593" w:rsidR="00782008" w:rsidRPr="00B869AD" w:rsidRDefault="00782008" w:rsidP="00ED6871">
      <w:pPr>
        <w:pStyle w:val="Nagwek2"/>
      </w:pPr>
      <w:r w:rsidRPr="00B869AD">
        <w:lastRenderedPageBreak/>
        <w:t>Przedłużenie terminu związania ofertą.</w:t>
      </w:r>
    </w:p>
    <w:p w14:paraId="1DB40FB2" w14:textId="181247C2" w:rsidR="00782008" w:rsidRDefault="00782008" w:rsidP="00BC1468">
      <w:pPr>
        <w:pStyle w:val="Nagwek3"/>
        <w:numPr>
          <w:ilvl w:val="0"/>
          <w:numId w:val="31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BC1468">
      <w:pPr>
        <w:pStyle w:val="Nagwek3"/>
        <w:numPr>
          <w:ilvl w:val="0"/>
          <w:numId w:val="54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BC1468">
      <w:pPr>
        <w:pStyle w:val="Nagwek3"/>
        <w:numPr>
          <w:ilvl w:val="0"/>
          <w:numId w:val="5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9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BC1468">
      <w:pPr>
        <w:pStyle w:val="Nagwek3"/>
        <w:numPr>
          <w:ilvl w:val="0"/>
          <w:numId w:val="34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</w:t>
            </w:r>
            <w:r w:rsidRPr="00AA645F">
              <w:rPr>
                <w:rFonts w:cs="Arial"/>
                <w:color w:val="222A35" w:themeColor="text2" w:themeShade="80"/>
                <w:szCs w:val="20"/>
                <w:lang w:eastAsia="pl-PL"/>
              </w:rPr>
              <w:t>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AA645F" w:rsidRPr="00E054BA" w14:paraId="3BE63345" w14:textId="77777777" w:rsidTr="008E5130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377B5529" w14:textId="5741EB45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Czas aktywacji dostępu do bazy</w:t>
            </w:r>
            <w:r>
              <w:rPr>
                <w:color w:val="323E4F" w:themeColor="text2" w:themeShade="BF"/>
              </w:rPr>
              <w:t xml:space="preserve"> (A)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F3E7C27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ABE80E9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AA645F" w:rsidRPr="00E054BA" w14:paraId="31B02F5A" w14:textId="77777777" w:rsidTr="008E5130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10F203B" w14:textId="19C4711F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2C545638" w14:textId="41F07962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Fakultatywne szkolenie</w:t>
            </w:r>
            <w:r>
              <w:rPr>
                <w:color w:val="323E4F" w:themeColor="text2" w:themeShade="BF"/>
              </w:rPr>
              <w:t xml:space="preserve"> (S)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A7C7391" w14:textId="579E2F77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36A579E" w14:textId="2BC6B3AA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2E241EB" w14:textId="77777777" w:rsidR="003531D1" w:rsidRDefault="003531D1" w:rsidP="003531D1">
      <w:pPr>
        <w:pStyle w:val="Nagwek3"/>
        <w:numPr>
          <w:ilvl w:val="0"/>
          <w:numId w:val="0"/>
        </w:numPr>
        <w:ind w:left="851"/>
        <w:jc w:val="left"/>
      </w:pPr>
    </w:p>
    <w:p w14:paraId="413EF575" w14:textId="35FE968C" w:rsidR="003531D1" w:rsidRPr="003531D1" w:rsidRDefault="003C094D" w:rsidP="00BC1468">
      <w:pPr>
        <w:pStyle w:val="Nagwek3"/>
        <w:numPr>
          <w:ilvl w:val="0"/>
          <w:numId w:val="34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BC1468">
      <w:pPr>
        <w:pStyle w:val="Nagwek4"/>
        <w:numPr>
          <w:ilvl w:val="0"/>
          <w:numId w:val="3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2705F" w:rsidRDefault="00F85C46" w:rsidP="00BC1468">
      <w:pPr>
        <w:pStyle w:val="Akapitzlist"/>
        <w:numPr>
          <w:ilvl w:val="0"/>
          <w:numId w:val="3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2705F">
        <w:rPr>
          <w:rFonts w:cs="Arial"/>
          <w:b/>
          <w:color w:val="000000" w:themeColor="text1"/>
          <w:szCs w:val="20"/>
          <w:lang w:eastAsia="pl-PL"/>
        </w:rPr>
        <w:t>Cena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2705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2705F">
        <w:rPr>
          <w:rFonts w:cs="Arial"/>
          <w:color w:val="000000" w:themeColor="text1"/>
          <w:szCs w:val="20"/>
          <w:lang w:eastAsia="pl-PL"/>
        </w:rPr>
        <w:t> </w:t>
      </w:r>
      <w:r w:rsidR="003C3AC5" w:rsidRPr="00C2705F">
        <w:rPr>
          <w:rFonts w:cs="Arial"/>
          <w:color w:val="000000" w:themeColor="text1"/>
          <w:szCs w:val="20"/>
          <w:lang w:eastAsia="pl-PL"/>
        </w:rPr>
        <w:t>dokumentami zamówienia</w:t>
      </w:r>
      <w:r w:rsidRPr="00C2705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2705F">
        <w:rPr>
          <w:rFonts w:cs="Arial"/>
          <w:color w:val="000000" w:themeColor="text1"/>
          <w:szCs w:val="20"/>
          <w:lang w:eastAsia="pl-PL"/>
        </w:rPr>
        <w:t> </w:t>
      </w:r>
      <w:r w:rsidRPr="00C2705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2705F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2705F" w:rsidRDefault="007347EC" w:rsidP="00BC1468">
      <w:pPr>
        <w:pStyle w:val="Akapitzlist"/>
        <w:numPr>
          <w:ilvl w:val="0"/>
          <w:numId w:val="32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2705F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2705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2705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2705F" w:rsidRDefault="00F85C46" w:rsidP="00BC1468">
      <w:pPr>
        <w:pStyle w:val="Akapitzlist"/>
        <w:numPr>
          <w:ilvl w:val="0"/>
          <w:numId w:val="32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2705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2705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23ECE45D" w:rsidR="00F85C46" w:rsidRPr="00C2705F" w:rsidRDefault="00F85C46" w:rsidP="0061721E">
      <w:pPr>
        <w:pStyle w:val="Nagwek4"/>
        <w:ind w:left="1134" w:hanging="284"/>
        <w:rPr>
          <w:color w:val="000000" w:themeColor="text1"/>
        </w:rPr>
      </w:pPr>
      <w:r w:rsidRPr="00C2705F">
        <w:rPr>
          <w:color w:val="000000" w:themeColor="text1"/>
        </w:rPr>
        <w:t>zasady przyznawania punktów w kryterium „</w:t>
      </w:r>
      <w:r w:rsidR="00F96069" w:rsidRPr="00C2705F">
        <w:rPr>
          <w:color w:val="000000" w:themeColor="text1"/>
          <w:lang w:val="pl-PL"/>
        </w:rPr>
        <w:t>Czas aktywacji dostępu do bazy</w:t>
      </w:r>
      <w:r w:rsidR="00591ED9" w:rsidRPr="00C2705F">
        <w:rPr>
          <w:color w:val="000000" w:themeColor="text1"/>
          <w:lang w:val="pl-PL"/>
        </w:rPr>
        <w:t xml:space="preserve"> (</w:t>
      </w:r>
      <w:r w:rsidR="00F96069" w:rsidRPr="00C2705F">
        <w:rPr>
          <w:color w:val="000000" w:themeColor="text1"/>
          <w:lang w:val="pl-PL"/>
        </w:rPr>
        <w:t>A</w:t>
      </w:r>
      <w:r w:rsidR="00591ED9" w:rsidRPr="00C2705F">
        <w:rPr>
          <w:color w:val="000000" w:themeColor="text1"/>
          <w:lang w:val="pl-PL"/>
        </w:rPr>
        <w:t>)”:</w:t>
      </w:r>
    </w:p>
    <w:p w14:paraId="5FB4D862" w14:textId="3E07C547" w:rsidR="00977411" w:rsidRPr="00C2705F" w:rsidRDefault="00977411" w:rsidP="00977411">
      <w:pPr>
        <w:widowControl w:val="0"/>
        <w:ind w:left="1134" w:firstLine="0"/>
        <w:rPr>
          <w:rFonts w:cs="Arial"/>
          <w:szCs w:val="20"/>
        </w:rPr>
      </w:pPr>
      <w:r w:rsidRPr="00C2705F">
        <w:rPr>
          <w:rFonts w:cs="Arial"/>
          <w:szCs w:val="20"/>
        </w:rPr>
        <w:t>Zgodnie z warunkami SWZ, maksymalny wymagany termin dostarczenia potwierdzenia rejestracji usługi u producenta baz danych (</w:t>
      </w:r>
      <w:r w:rsidRPr="00C2705F">
        <w:rPr>
          <w:rFonts w:cs="Arial"/>
          <w:szCs w:val="20"/>
          <w:lang w:eastAsia="pl-PL"/>
        </w:rPr>
        <w:t>czas aktywacji dostępu do bazy</w:t>
      </w:r>
      <w:r w:rsidRPr="00C2705F">
        <w:rPr>
          <w:rFonts w:cs="Arial"/>
          <w:szCs w:val="20"/>
        </w:rPr>
        <w:t xml:space="preserve"> ) wynosi: </w:t>
      </w:r>
      <w:r w:rsidR="008548AF" w:rsidRPr="00C2705F">
        <w:rPr>
          <w:rFonts w:eastAsia="Calibri" w:cs="Arial"/>
          <w:b/>
          <w:bCs/>
          <w:szCs w:val="20"/>
          <w:lang w:eastAsia="pl-PL"/>
        </w:rPr>
        <w:t>5</w:t>
      </w:r>
      <w:r w:rsidRPr="00C2705F">
        <w:rPr>
          <w:rFonts w:eastAsia="Calibri" w:cs="Arial"/>
          <w:b/>
          <w:bCs/>
          <w:szCs w:val="20"/>
          <w:lang w:eastAsia="pl-PL"/>
        </w:rPr>
        <w:t xml:space="preserve"> dni od daty zawarcia umowy</w:t>
      </w:r>
      <w:r w:rsidRPr="00C2705F">
        <w:rPr>
          <w:rFonts w:cs="Arial"/>
          <w:szCs w:val="20"/>
        </w:rPr>
        <w:t>.</w:t>
      </w:r>
    </w:p>
    <w:p w14:paraId="37DE2136" w14:textId="77777777" w:rsidR="00977411" w:rsidRPr="00C2705F" w:rsidRDefault="00977411" w:rsidP="00977411">
      <w:pPr>
        <w:widowControl w:val="0"/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lastRenderedPageBreak/>
        <w:t>Ocena dla tego kryterium będzie obliczana na podstawie złożonego przez Wykonawcę oświadczenia  w formularzu oferty (załącznik nr 1A do SWZ).</w:t>
      </w:r>
    </w:p>
    <w:p w14:paraId="5FACE6E3" w14:textId="77777777" w:rsidR="00977411" w:rsidRPr="00C2705F" w:rsidRDefault="00977411" w:rsidP="00977411">
      <w:pPr>
        <w:ind w:left="1134" w:firstLine="0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Punkty za kryterium „</w:t>
      </w:r>
      <w:r w:rsidRPr="00C2705F">
        <w:rPr>
          <w:rFonts w:cs="Arial"/>
          <w:szCs w:val="20"/>
          <w:lang w:eastAsia="pl-PL"/>
        </w:rPr>
        <w:t>Czas aktywacji dostępu do bazy</w:t>
      </w:r>
      <w:r w:rsidRPr="00C2705F">
        <w:rPr>
          <w:rFonts w:cs="Arial"/>
          <w:szCs w:val="20"/>
        </w:rPr>
        <w:t>” zostaną przyznane w następujący sposób:</w:t>
      </w:r>
    </w:p>
    <w:p w14:paraId="07227D3E" w14:textId="4DFD4847" w:rsidR="00977411" w:rsidRPr="00C2705F" w:rsidRDefault="008548AF" w:rsidP="00977411">
      <w:pPr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b/>
          <w:bCs/>
          <w:szCs w:val="20"/>
          <w:lang w:eastAsia="pl-PL"/>
        </w:rPr>
        <w:t xml:space="preserve">Za każdy dzień poniżej 5 dni Zamawiający przyzna </w:t>
      </w:r>
      <w:r w:rsidR="00081C9B">
        <w:rPr>
          <w:rFonts w:cs="Arial"/>
          <w:b/>
          <w:bCs/>
          <w:szCs w:val="20"/>
          <w:lang w:eastAsia="pl-PL"/>
        </w:rPr>
        <w:t xml:space="preserve">5 </w:t>
      </w:r>
      <w:r w:rsidR="00977411" w:rsidRPr="00C2705F">
        <w:rPr>
          <w:rFonts w:cs="Arial"/>
          <w:b/>
          <w:bCs/>
          <w:szCs w:val="20"/>
          <w:lang w:eastAsia="pl-PL"/>
        </w:rPr>
        <w:t>pkt</w:t>
      </w:r>
      <w:r w:rsidR="00977411" w:rsidRPr="00C2705F">
        <w:rPr>
          <w:rFonts w:cs="Arial"/>
          <w:szCs w:val="20"/>
          <w:lang w:eastAsia="pl-PL"/>
        </w:rPr>
        <w:t xml:space="preserve">, </w:t>
      </w:r>
      <w:proofErr w:type="spellStart"/>
      <w:r w:rsidR="00977411" w:rsidRPr="00C2705F">
        <w:rPr>
          <w:rFonts w:cs="Arial"/>
          <w:szCs w:val="20"/>
          <w:lang w:eastAsia="pl-PL"/>
        </w:rPr>
        <w:t>tj</w:t>
      </w:r>
      <w:proofErr w:type="spellEnd"/>
      <w:r w:rsidR="00977411" w:rsidRPr="00C2705F">
        <w:rPr>
          <w:rFonts w:cs="Arial"/>
          <w:szCs w:val="20"/>
          <w:lang w:eastAsia="pl-PL"/>
        </w:rPr>
        <w:t xml:space="preserve">: </w:t>
      </w:r>
    </w:p>
    <w:p w14:paraId="6B069EC5" w14:textId="56FF1623" w:rsidR="00977411" w:rsidRPr="00C2705F" w:rsidRDefault="008548AF" w:rsidP="00BC1468">
      <w:pPr>
        <w:numPr>
          <w:ilvl w:val="0"/>
          <w:numId w:val="58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5 dni – 0</w:t>
      </w:r>
      <w:r w:rsidR="00977411" w:rsidRPr="00C2705F">
        <w:rPr>
          <w:rFonts w:cs="Arial"/>
          <w:szCs w:val="20"/>
        </w:rPr>
        <w:t xml:space="preserve"> pkt;</w:t>
      </w:r>
    </w:p>
    <w:p w14:paraId="7805CA6C" w14:textId="4C2427A7" w:rsidR="00977411" w:rsidRPr="00C2705F" w:rsidRDefault="008548AF" w:rsidP="00BC1468">
      <w:pPr>
        <w:numPr>
          <w:ilvl w:val="0"/>
          <w:numId w:val="58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4 dni – 5</w:t>
      </w:r>
      <w:r w:rsidR="00977411" w:rsidRPr="00C2705F">
        <w:rPr>
          <w:rFonts w:cs="Arial"/>
          <w:szCs w:val="20"/>
        </w:rPr>
        <w:t xml:space="preserve"> pkt;</w:t>
      </w:r>
    </w:p>
    <w:p w14:paraId="11338FF1" w14:textId="101BCA3F" w:rsidR="00977411" w:rsidRPr="00C2705F" w:rsidRDefault="008548AF" w:rsidP="00BC1468">
      <w:pPr>
        <w:numPr>
          <w:ilvl w:val="0"/>
          <w:numId w:val="58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3 dni – 10</w:t>
      </w:r>
      <w:r w:rsidR="00977411" w:rsidRPr="00C2705F">
        <w:rPr>
          <w:rFonts w:cs="Arial"/>
          <w:szCs w:val="20"/>
        </w:rPr>
        <w:t xml:space="preserve"> pkt,</w:t>
      </w:r>
    </w:p>
    <w:p w14:paraId="0225CA06" w14:textId="2E500227" w:rsidR="00977411" w:rsidRPr="00C2705F" w:rsidRDefault="00977411" w:rsidP="00BC1468">
      <w:pPr>
        <w:numPr>
          <w:ilvl w:val="0"/>
          <w:numId w:val="58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2 dni</w:t>
      </w:r>
      <w:r w:rsidR="008548AF" w:rsidRPr="00C2705F">
        <w:rPr>
          <w:rFonts w:cs="Arial"/>
          <w:szCs w:val="20"/>
        </w:rPr>
        <w:t xml:space="preserve"> – 15</w:t>
      </w:r>
      <w:r w:rsidRPr="00C2705F">
        <w:rPr>
          <w:rFonts w:cs="Arial"/>
          <w:szCs w:val="20"/>
        </w:rPr>
        <w:t xml:space="preserve"> pkt.</w:t>
      </w:r>
    </w:p>
    <w:p w14:paraId="1D3DFE5F" w14:textId="77777777" w:rsidR="0066727E" w:rsidRDefault="008548AF" w:rsidP="0066727E">
      <w:pPr>
        <w:numPr>
          <w:ilvl w:val="0"/>
          <w:numId w:val="58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1 dzień – 20 pkt.</w:t>
      </w:r>
    </w:p>
    <w:p w14:paraId="4C32C226" w14:textId="6FF82205" w:rsidR="0066727E" w:rsidRPr="0066727E" w:rsidRDefault="0066727E" w:rsidP="0066727E">
      <w:pPr>
        <w:ind w:left="1135" w:firstLine="0"/>
        <w:contextualSpacing/>
        <w:rPr>
          <w:rFonts w:cs="Arial"/>
          <w:szCs w:val="20"/>
        </w:rPr>
      </w:pPr>
      <w:r w:rsidRPr="0066727E">
        <w:rPr>
          <w:rFonts w:cs="Arial"/>
          <w:szCs w:val="20"/>
          <w:lang w:eastAsia="pl-PL"/>
        </w:rPr>
        <w:t>Pod pojęciem dni, o których mowa powyżej, Zamawiający rozumie dni robocze</w:t>
      </w:r>
    </w:p>
    <w:p w14:paraId="45B62D8C" w14:textId="77777777" w:rsidR="00451B71" w:rsidRPr="00C2705F" w:rsidRDefault="00451B71" w:rsidP="00451B71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</w:rPr>
        <w:t xml:space="preserve">Dłuższy </w:t>
      </w:r>
      <w:r w:rsidRPr="00C2705F">
        <w:rPr>
          <w:rFonts w:cs="Arial"/>
          <w:szCs w:val="20"/>
          <w:lang w:eastAsia="pl-PL"/>
        </w:rPr>
        <w:t>czas aktywacji dostępu do bazy</w:t>
      </w:r>
      <w:r w:rsidRPr="00C2705F">
        <w:rPr>
          <w:rFonts w:cs="Arial"/>
          <w:szCs w:val="20"/>
        </w:rPr>
        <w:t xml:space="preserve"> (tj. &gt;5 dni) </w:t>
      </w:r>
      <w:r>
        <w:rPr>
          <w:rFonts w:cs="Arial"/>
          <w:szCs w:val="20"/>
        </w:rPr>
        <w:t xml:space="preserve">lub </w:t>
      </w:r>
      <w:r>
        <w:rPr>
          <w:rFonts w:cs="Arial"/>
          <w:szCs w:val="20"/>
          <w:lang w:eastAsia="pl-PL"/>
        </w:rPr>
        <w:t>n</w:t>
      </w:r>
      <w:r w:rsidRPr="00C2705F">
        <w:rPr>
          <w:rFonts w:cs="Arial"/>
          <w:szCs w:val="20"/>
          <w:lang w:eastAsia="pl-PL"/>
        </w:rPr>
        <w:t>i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ezłożenie oświadczenia o </w:t>
      </w:r>
      <w:r w:rsidRPr="00C2705F">
        <w:rPr>
          <w:rFonts w:cs="Arial"/>
          <w:szCs w:val="20"/>
          <w:lang w:eastAsia="pl-PL"/>
        </w:rPr>
        <w:t>czasie aktywacji dostępu do bazy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 </w:t>
      </w:r>
      <w:bookmarkStart w:id="30" w:name="_Hlk150241359"/>
      <w:r w:rsidRPr="00C2705F">
        <w:rPr>
          <w:rFonts w:cs="Arial"/>
          <w:bCs/>
          <w:szCs w:val="20"/>
          <w:lang w:eastAsia="pl-PL"/>
        </w:rPr>
        <w:t xml:space="preserve">– oferta zostanie odrzucona jako niezgodna z warunkami zamówienia na podstawie art. 226 ust. 1 pkt 5 ustawy </w:t>
      </w:r>
      <w:proofErr w:type="spellStart"/>
      <w:r w:rsidRPr="00C2705F">
        <w:rPr>
          <w:rFonts w:cs="Arial"/>
          <w:bCs/>
          <w:szCs w:val="20"/>
          <w:lang w:eastAsia="pl-PL"/>
        </w:rPr>
        <w:t>Pzp</w:t>
      </w:r>
      <w:proofErr w:type="spellEnd"/>
      <w:r w:rsidRPr="00C2705F">
        <w:rPr>
          <w:rFonts w:cs="Arial"/>
          <w:bCs/>
          <w:szCs w:val="20"/>
          <w:lang w:eastAsia="pl-PL"/>
        </w:rPr>
        <w:t>;</w:t>
      </w:r>
      <w:bookmarkEnd w:id="30"/>
    </w:p>
    <w:p w14:paraId="78FE23CE" w14:textId="77777777" w:rsidR="00451B71" w:rsidRPr="00C2705F" w:rsidRDefault="00451B71" w:rsidP="00451B71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 xml:space="preserve">Zamawiający w ramach tego kryterium przyzna maksymalnie </w:t>
      </w:r>
      <w:r w:rsidRPr="00C2705F">
        <w:rPr>
          <w:rFonts w:cs="Arial"/>
          <w:b/>
          <w:szCs w:val="20"/>
          <w:lang w:eastAsia="pl-PL"/>
        </w:rPr>
        <w:t xml:space="preserve">20 pkt. </w:t>
      </w:r>
    </w:p>
    <w:p w14:paraId="42C321DA" w14:textId="5C256C0B" w:rsidR="003A7B0A" w:rsidRPr="00C2705F" w:rsidRDefault="003A7B0A" w:rsidP="003A7B0A">
      <w:pPr>
        <w:pStyle w:val="Nagwek4"/>
        <w:ind w:left="1134" w:hanging="284"/>
        <w:rPr>
          <w:color w:val="000000" w:themeColor="text1"/>
        </w:rPr>
      </w:pPr>
      <w:r w:rsidRPr="00C2705F">
        <w:rPr>
          <w:color w:val="000000" w:themeColor="text1"/>
        </w:rPr>
        <w:t>zasady przyznawania punktów w kryterium „</w:t>
      </w:r>
      <w:r w:rsidR="00D35AE3" w:rsidRPr="00C2705F">
        <w:rPr>
          <w:color w:val="000000" w:themeColor="text1"/>
          <w:lang w:val="pl-PL"/>
        </w:rPr>
        <w:t>Fakultatywne szkolenie</w:t>
      </w:r>
      <w:r w:rsidRPr="00C2705F">
        <w:rPr>
          <w:color w:val="000000" w:themeColor="text1"/>
          <w:lang w:val="pl-PL"/>
        </w:rPr>
        <w:t xml:space="preserve"> (</w:t>
      </w:r>
      <w:r w:rsidR="00D35AE3" w:rsidRPr="00C2705F">
        <w:rPr>
          <w:color w:val="000000" w:themeColor="text1"/>
          <w:lang w:val="pl-PL"/>
        </w:rPr>
        <w:t>S</w:t>
      </w:r>
      <w:r w:rsidRPr="00C2705F">
        <w:rPr>
          <w:color w:val="000000" w:themeColor="text1"/>
          <w:lang w:val="pl-PL"/>
        </w:rPr>
        <w:t>)”:</w:t>
      </w:r>
    </w:p>
    <w:p w14:paraId="42302CB4" w14:textId="281780F1" w:rsidR="00D35AE3" w:rsidRPr="00C2705F" w:rsidRDefault="00D35AE3" w:rsidP="00EC3C34">
      <w:pPr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Ocena dla tego kryterium będzie obliczana na podstawie złożonego przez Wykonawcę oświadczenia  w formular</w:t>
      </w:r>
      <w:r w:rsidR="008D046A" w:rsidRPr="00C2705F">
        <w:rPr>
          <w:rFonts w:cs="Arial"/>
          <w:szCs w:val="20"/>
          <w:lang w:eastAsia="pl-PL"/>
        </w:rPr>
        <w:t>zu oferty (załącznik nr 1A do S</w:t>
      </w:r>
      <w:r w:rsidRPr="00C2705F">
        <w:rPr>
          <w:rFonts w:cs="Arial"/>
          <w:szCs w:val="20"/>
          <w:lang w:eastAsia="pl-PL"/>
        </w:rPr>
        <w:t xml:space="preserve">WZ). </w:t>
      </w:r>
    </w:p>
    <w:p w14:paraId="4D2FBED2" w14:textId="166CF460" w:rsidR="00D35AE3" w:rsidRPr="00C2705F" w:rsidRDefault="00D35AE3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 xml:space="preserve">Jeżeli Wykonawca zaoferuje w ramach przedmiotu zamówienia przeprowadzenie jednodniowego szkolenia z metod </w:t>
      </w:r>
      <w:proofErr w:type="spellStart"/>
      <w:r w:rsidRPr="00C2705F">
        <w:rPr>
          <w:rFonts w:cs="Arial"/>
          <w:szCs w:val="20"/>
          <w:lang w:eastAsia="pl-PL"/>
        </w:rPr>
        <w:t>przeszukiwawczych</w:t>
      </w:r>
      <w:proofErr w:type="spellEnd"/>
      <w:r w:rsidRPr="00C2705F">
        <w:rPr>
          <w:rFonts w:cs="Arial"/>
          <w:szCs w:val="20"/>
          <w:lang w:eastAsia="pl-PL"/>
        </w:rPr>
        <w:t xml:space="preserve"> dla pracowników Zamawiającego tj. Biblioteki UŚ wraz z oddziałami (max. dla 90 osób) w terminie do 30 dni od daty zawarcia umowy - otrzyma 20 pkt. w wyżej wymienionym kryterium. Jeżeli Wykonawca nie zaoferuje </w:t>
      </w:r>
      <w:r w:rsidRPr="00C2705F">
        <w:rPr>
          <w:rFonts w:cs="Arial"/>
          <w:szCs w:val="20"/>
        </w:rPr>
        <w:t>szkolenia</w:t>
      </w:r>
      <w:r w:rsidRPr="00C2705F">
        <w:rPr>
          <w:rFonts w:cs="Arial"/>
          <w:szCs w:val="20"/>
          <w:lang w:eastAsia="pl-PL"/>
        </w:rPr>
        <w:t xml:space="preserve"> - otrzyma 0 pkt.</w:t>
      </w:r>
    </w:p>
    <w:p w14:paraId="6CE7B807" w14:textId="6A3D58F1" w:rsidR="002371FE" w:rsidRPr="00C2705F" w:rsidRDefault="002371FE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color w:val="000000"/>
        </w:rPr>
        <w:t xml:space="preserve">Fakultatywne szkolenie (w ramach </w:t>
      </w:r>
      <w:proofErr w:type="spellStart"/>
      <w:r w:rsidRPr="00C2705F">
        <w:rPr>
          <w:rFonts w:cs="Arial"/>
          <w:color w:val="000000"/>
        </w:rPr>
        <w:t>pozacenowych</w:t>
      </w:r>
      <w:proofErr w:type="spellEnd"/>
      <w:r w:rsidRPr="00C2705F">
        <w:rPr>
          <w:rFonts w:cs="Arial"/>
          <w:color w:val="000000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  <w:p w14:paraId="3861FC00" w14:textId="38C95F40" w:rsidR="00451B71" w:rsidRPr="00C2705F" w:rsidRDefault="00451B71" w:rsidP="00451B71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Ni</w:t>
      </w:r>
      <w:r w:rsidRPr="00C2705F">
        <w:rPr>
          <w:rFonts w:cs="Arial"/>
          <w:color w:val="000000"/>
          <w:szCs w:val="20"/>
          <w:lang w:eastAsia="pl-PL"/>
        </w:rPr>
        <w:t xml:space="preserve">ezłożenie oświadczenia o szkoleniu – </w:t>
      </w:r>
      <w:r w:rsidR="002D0F9F">
        <w:rPr>
          <w:rFonts w:cs="Arial"/>
          <w:bCs/>
          <w:szCs w:val="20"/>
          <w:lang w:eastAsia="pl-PL"/>
        </w:rPr>
        <w:t>Zamawiający uzna, że Wykonawca nie oferuje szkolenia, otrzyma 0 pkt.</w:t>
      </w:r>
    </w:p>
    <w:p w14:paraId="739FC859" w14:textId="4D305B2D" w:rsidR="00D35AE3" w:rsidRPr="00EC3C34" w:rsidRDefault="00D35AE3" w:rsidP="00EC3C34">
      <w:pPr>
        <w:autoSpaceDE w:val="0"/>
        <w:autoSpaceDN w:val="0"/>
        <w:adjustRightInd w:val="0"/>
        <w:ind w:left="1134" w:firstLine="0"/>
        <w:rPr>
          <w:rFonts w:cs="Arial"/>
          <w:b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Zamawiający</w:t>
      </w:r>
      <w:r w:rsidRPr="00D35AE3">
        <w:rPr>
          <w:rFonts w:cs="Arial"/>
          <w:szCs w:val="20"/>
          <w:lang w:eastAsia="pl-PL"/>
        </w:rPr>
        <w:t xml:space="preserve"> w ramach tego kryterium przyzna łącznie maksymalnie </w:t>
      </w:r>
      <w:r w:rsidRPr="00D35AE3">
        <w:rPr>
          <w:rFonts w:cs="Arial"/>
          <w:b/>
          <w:szCs w:val="20"/>
          <w:lang w:eastAsia="pl-PL"/>
        </w:rPr>
        <w:t>20 pkt.</w:t>
      </w:r>
    </w:p>
    <w:p w14:paraId="329AAE53" w14:textId="0C4A33B5" w:rsidR="00F85C46" w:rsidRPr="00E054BA" w:rsidRDefault="000A37EA" w:rsidP="00BC1468">
      <w:pPr>
        <w:pStyle w:val="Nagwek3"/>
        <w:numPr>
          <w:ilvl w:val="0"/>
          <w:numId w:val="54"/>
        </w:numPr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cena brutto + </w:t>
      </w:r>
      <w:r w:rsidR="00EC3C34">
        <w:t>czas aktywacji dostępu do bazy</w:t>
      </w:r>
      <w:r w:rsidR="003A7B0A">
        <w:t xml:space="preserve">+ </w:t>
      </w:r>
      <w:r w:rsidR="00EC3C34">
        <w:t>fakultatywne szkolenie.</w:t>
      </w:r>
    </w:p>
    <w:p w14:paraId="731E762C" w14:textId="647D00E5" w:rsidR="00F85C46" w:rsidRPr="00E054BA" w:rsidRDefault="000A37EA" w:rsidP="00BC146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2E98B314" w:rsidR="00F85C46" w:rsidRPr="000A37EA" w:rsidRDefault="000A37EA" w:rsidP="00BC1468">
      <w:pPr>
        <w:pStyle w:val="Nagwek3"/>
        <w:numPr>
          <w:ilvl w:val="0"/>
          <w:numId w:val="54"/>
        </w:numPr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BC1468">
      <w:pPr>
        <w:pStyle w:val="Nagwek3"/>
        <w:numPr>
          <w:ilvl w:val="0"/>
          <w:numId w:val="54"/>
        </w:numPr>
        <w:ind w:left="851" w:hanging="284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BC1468">
      <w:pPr>
        <w:pStyle w:val="Nagwek3"/>
        <w:numPr>
          <w:ilvl w:val="0"/>
          <w:numId w:val="54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BC1468">
      <w:pPr>
        <w:pStyle w:val="Nagwek3"/>
        <w:numPr>
          <w:ilvl w:val="0"/>
          <w:numId w:val="54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BC1468">
      <w:pPr>
        <w:pStyle w:val="Nagwek2"/>
        <w:numPr>
          <w:ilvl w:val="0"/>
          <w:numId w:val="3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BC1468">
      <w:pPr>
        <w:pStyle w:val="Nagwek3"/>
        <w:numPr>
          <w:ilvl w:val="0"/>
          <w:numId w:val="3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BC1468">
      <w:pPr>
        <w:pStyle w:val="Nagwek4"/>
        <w:numPr>
          <w:ilvl w:val="0"/>
          <w:numId w:val="4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BC1468">
      <w:pPr>
        <w:pStyle w:val="Nagwek3"/>
        <w:numPr>
          <w:ilvl w:val="0"/>
          <w:numId w:val="54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1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BC1468">
      <w:pPr>
        <w:pStyle w:val="Nagwek2"/>
        <w:numPr>
          <w:ilvl w:val="0"/>
          <w:numId w:val="37"/>
        </w:numPr>
        <w:ind w:left="567" w:hanging="283"/>
      </w:pPr>
      <w:r>
        <w:t>Formalności niezbędne przed zawarciem umowy.</w:t>
      </w:r>
    </w:p>
    <w:p w14:paraId="2365E6A8" w14:textId="331AC79B" w:rsidR="00F85C46" w:rsidRPr="00ED6871" w:rsidRDefault="00ED6871" w:rsidP="00BC1468">
      <w:pPr>
        <w:pStyle w:val="Nagwek3"/>
        <w:numPr>
          <w:ilvl w:val="0"/>
          <w:numId w:val="3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BC1468">
      <w:pPr>
        <w:pStyle w:val="Nagwek3"/>
        <w:numPr>
          <w:ilvl w:val="0"/>
          <w:numId w:val="3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BC146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BC146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BC1468">
      <w:pPr>
        <w:pStyle w:val="Nagwek3"/>
        <w:numPr>
          <w:ilvl w:val="0"/>
          <w:numId w:val="54"/>
        </w:numPr>
        <w:ind w:left="851" w:hanging="284"/>
      </w:pPr>
      <w:r>
        <w:lastRenderedPageBreak/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BC146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2" w:name="_Toc66169499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BC1468">
      <w:pPr>
        <w:pStyle w:val="Nagwek2"/>
        <w:numPr>
          <w:ilvl w:val="0"/>
          <w:numId w:val="3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BC1468">
      <w:pPr>
        <w:pStyle w:val="Nagwek3"/>
        <w:numPr>
          <w:ilvl w:val="0"/>
          <w:numId w:val="40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BC1468">
      <w:pPr>
        <w:pStyle w:val="Nagwek3"/>
        <w:numPr>
          <w:ilvl w:val="0"/>
          <w:numId w:val="54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BC1468">
      <w:pPr>
        <w:pStyle w:val="Nagwek3"/>
        <w:numPr>
          <w:ilvl w:val="0"/>
          <w:numId w:val="4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BC1468">
      <w:pPr>
        <w:pStyle w:val="Nagwek4"/>
        <w:numPr>
          <w:ilvl w:val="0"/>
          <w:numId w:val="50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BC1468">
      <w:pPr>
        <w:pStyle w:val="Nagwek3"/>
        <w:numPr>
          <w:ilvl w:val="0"/>
          <w:numId w:val="54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BC1468">
      <w:pPr>
        <w:pStyle w:val="Nagwek3"/>
        <w:numPr>
          <w:ilvl w:val="0"/>
          <w:numId w:val="54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BC1468">
      <w:pPr>
        <w:pStyle w:val="Nagwek3"/>
        <w:numPr>
          <w:ilvl w:val="0"/>
          <w:numId w:val="54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BC1468">
      <w:pPr>
        <w:pStyle w:val="Nagwek4"/>
        <w:numPr>
          <w:ilvl w:val="0"/>
          <w:numId w:val="51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lastRenderedPageBreak/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BC1468">
      <w:pPr>
        <w:pStyle w:val="Nagwek3"/>
        <w:numPr>
          <w:ilvl w:val="0"/>
          <w:numId w:val="4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BC1468">
      <w:pPr>
        <w:pStyle w:val="Nagwek3"/>
        <w:numPr>
          <w:ilvl w:val="0"/>
          <w:numId w:val="54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3" w:name="_Toc66169500"/>
      <w:r w:rsidRPr="00E054BA">
        <w:t>Informacje dodatkowe.</w:t>
      </w:r>
      <w:bookmarkEnd w:id="33"/>
    </w:p>
    <w:p w14:paraId="5B19376B" w14:textId="59623ABD" w:rsidR="00F85C46" w:rsidRPr="00743CB0" w:rsidRDefault="00FE10A7" w:rsidP="00BC1468">
      <w:pPr>
        <w:pStyle w:val="Nagwek2"/>
        <w:numPr>
          <w:ilvl w:val="0"/>
          <w:numId w:val="4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BC1468">
      <w:pPr>
        <w:pStyle w:val="Nagwek3"/>
        <w:numPr>
          <w:ilvl w:val="0"/>
          <w:numId w:val="5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BC1468">
      <w:pPr>
        <w:pStyle w:val="Nagwek3"/>
        <w:numPr>
          <w:ilvl w:val="0"/>
          <w:numId w:val="54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BC1468">
      <w:pPr>
        <w:pStyle w:val="Nagwek3"/>
        <w:numPr>
          <w:ilvl w:val="0"/>
          <w:numId w:val="4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BC1468">
      <w:pPr>
        <w:pStyle w:val="Nagwek4"/>
        <w:numPr>
          <w:ilvl w:val="0"/>
          <w:numId w:val="5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D92A6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D92A6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D92A6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D92A6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3550BBFD" w14:textId="7D5E8ACC" w:rsidR="003D5F5C" w:rsidRPr="003D5F5C" w:rsidRDefault="00F85C46" w:rsidP="003D5F5C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</w:t>
      </w:r>
      <w:r w:rsidR="00451B71">
        <w:rPr>
          <w:b/>
          <w:lang w:val="pl-PL"/>
        </w:rPr>
        <w:t>2.4.</w:t>
      </w:r>
      <w:r w:rsidR="002D0F9F">
        <w:rPr>
          <w:b/>
          <w:lang w:val="pl-PL"/>
        </w:rPr>
        <w:t>24</w:t>
      </w:r>
      <w:r w:rsidR="00451B71">
        <w:rPr>
          <w:b/>
          <w:lang w:val="pl-PL"/>
        </w:rPr>
        <w:t>.202</w:t>
      </w:r>
      <w:r w:rsidR="002D0F9F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8548AF">
        <w:rPr>
          <w:lang w:val="pl-PL"/>
        </w:rPr>
        <w:t>„</w:t>
      </w:r>
      <w:r w:rsidR="003D5F5C" w:rsidRPr="003D5F5C">
        <w:rPr>
          <w:b/>
        </w:rPr>
        <w:t xml:space="preserve">Dostęp dla Uniwersytetu Śląskiego do wydawnictw </w:t>
      </w:r>
      <w:proofErr w:type="spellStart"/>
      <w:r w:rsidR="003D5F5C" w:rsidRPr="003D5F5C">
        <w:rPr>
          <w:b/>
        </w:rPr>
        <w:t>Elsevier</w:t>
      </w:r>
      <w:proofErr w:type="spellEnd"/>
      <w:r w:rsidR="003D5F5C" w:rsidRPr="003D5F5C">
        <w:rPr>
          <w:b/>
        </w:rPr>
        <w:t xml:space="preserve"> w okresie od 01.01.202</w:t>
      </w:r>
      <w:r w:rsidR="002D0F9F">
        <w:rPr>
          <w:b/>
          <w:lang w:val="pl-PL"/>
        </w:rPr>
        <w:t>5</w:t>
      </w:r>
      <w:r w:rsidR="003D5F5C" w:rsidRPr="003D5F5C">
        <w:rPr>
          <w:b/>
        </w:rPr>
        <w:t xml:space="preserve"> r. – 31.12.202</w:t>
      </w:r>
      <w:r w:rsidR="002D0F9F">
        <w:rPr>
          <w:b/>
          <w:lang w:val="pl-PL"/>
        </w:rPr>
        <w:t>5</w:t>
      </w:r>
      <w:r w:rsidR="003D5F5C" w:rsidRPr="003D5F5C">
        <w:rPr>
          <w:b/>
        </w:rPr>
        <w:t xml:space="preserve"> r.”</w:t>
      </w:r>
    </w:p>
    <w:p w14:paraId="280CFD85" w14:textId="6C317F8A" w:rsidR="00F85C46" w:rsidRPr="00BE040C" w:rsidRDefault="000D4915" w:rsidP="00BE040C">
      <w:pPr>
        <w:pStyle w:val="Nagwek4"/>
        <w:ind w:left="1134" w:hanging="283"/>
        <w:rPr>
          <w:b/>
        </w:rPr>
      </w:pPr>
      <w:r w:rsidRPr="000D4915">
        <w:rPr>
          <w:b/>
          <w:lang w:val="pl-PL"/>
        </w:rPr>
        <w:t>”</w:t>
      </w:r>
      <w:r>
        <w:rPr>
          <w:b/>
          <w:lang w:val="pl-PL"/>
        </w:rPr>
        <w:t xml:space="preserve"> </w:t>
      </w:r>
      <w:r w:rsidR="00F85C46"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0243262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</w:t>
      </w:r>
      <w:r w:rsidRPr="00C2705F">
        <w:t xml:space="preserve">postępowania w oparciu o art. </w:t>
      </w:r>
      <w:r w:rsidR="0061008C" w:rsidRPr="00C2705F">
        <w:t xml:space="preserve">18 oraz art. 74 - 76 </w:t>
      </w:r>
      <w:r w:rsidRPr="00C2705F">
        <w:t xml:space="preserve">ustawy z </w:t>
      </w:r>
      <w:r w:rsidR="0061008C" w:rsidRPr="00C2705F">
        <w:t>dnia 11 września 2019</w:t>
      </w:r>
      <w:r w:rsidRPr="00C2705F">
        <w:t xml:space="preserve"> r. – Prawo zamówień publicz</w:t>
      </w:r>
      <w:r w:rsidR="0061008C" w:rsidRPr="00C2705F">
        <w:t>nych (</w:t>
      </w:r>
      <w:proofErr w:type="spellStart"/>
      <w:r w:rsidR="00451B71">
        <w:rPr>
          <w:lang w:val="pl-PL"/>
        </w:rPr>
        <w:t>t.j</w:t>
      </w:r>
      <w:proofErr w:type="spellEnd"/>
      <w:r w:rsidR="00451B71">
        <w:rPr>
          <w:lang w:val="pl-PL"/>
        </w:rPr>
        <w:t xml:space="preserve">. </w:t>
      </w:r>
      <w:r w:rsidR="0061008C" w:rsidRPr="00C2705F">
        <w:t>Dz. U. z</w:t>
      </w:r>
      <w:r w:rsidR="007F153F" w:rsidRPr="00C2705F">
        <w:t> </w:t>
      </w:r>
      <w:r w:rsidR="00C2705F" w:rsidRPr="00C2705F">
        <w:t>20</w:t>
      </w:r>
      <w:r w:rsidR="00C2705F" w:rsidRPr="00C2705F">
        <w:rPr>
          <w:lang w:val="pl-PL"/>
        </w:rPr>
        <w:t>2</w:t>
      </w:r>
      <w:r w:rsidR="002D0F9F">
        <w:rPr>
          <w:lang w:val="pl-PL"/>
        </w:rPr>
        <w:t>4</w:t>
      </w:r>
      <w:r w:rsidR="0061008C" w:rsidRPr="00C2705F">
        <w:t xml:space="preserve"> r. poz. </w:t>
      </w:r>
      <w:r w:rsidR="00C2705F" w:rsidRPr="00C2705F">
        <w:rPr>
          <w:lang w:val="pl-PL"/>
        </w:rPr>
        <w:t>1</w:t>
      </w:r>
      <w:r w:rsidR="002D0F9F">
        <w:rPr>
          <w:lang w:val="pl-PL"/>
        </w:rPr>
        <w:t>320</w:t>
      </w:r>
      <w:r w:rsidRPr="00C2705F">
        <w:t xml:space="preserve"> z</w:t>
      </w:r>
      <w:r w:rsidR="0061008C" w:rsidRPr="00C2705F">
        <w:t> </w:t>
      </w:r>
      <w:proofErr w:type="spellStart"/>
      <w:r w:rsidRPr="00C2705F">
        <w:t>późn</w:t>
      </w:r>
      <w:proofErr w:type="spellEnd"/>
      <w:r w:rsidRPr="00C2705F">
        <w:t>. zm</w:t>
      </w:r>
      <w:r w:rsidR="00BA4B90" w:rsidRPr="00C2705F">
        <w:t>.</w:t>
      </w:r>
      <w:r w:rsidR="0061008C" w:rsidRPr="00C2705F">
        <w:t>)</w:t>
      </w:r>
      <w:r w:rsidR="007F153F" w:rsidRPr="00C2705F">
        <w:t>, a także w oparciu o przepis art. 6 ustawy z dnia 6 września 2001 r. o dostępie do informacji publicznej (Dz. U. z 2020 r. poz. 2176)</w:t>
      </w:r>
      <w:r w:rsidR="003144B0" w:rsidRPr="00C2705F">
        <w:t>. Udostępnianie danych ma zastosowanie do wszystkich danych osobowych, z wyjątkiem danych, o których mowa w art. 9 ust. 1 rozporządzenia RODO (dane sensytywne), zebranych w toku postępowania o udzielenie zamówienia</w:t>
      </w:r>
      <w:r w:rsidR="003144B0">
        <w:t>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D92A6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</w:t>
      </w:r>
      <w:r w:rsidR="00F85C46" w:rsidRPr="007F153F">
        <w:rPr>
          <w:rFonts w:cs="Arial"/>
          <w:szCs w:val="20"/>
          <w:lang w:eastAsia="ar-SA"/>
        </w:rPr>
        <w:lastRenderedPageBreak/>
        <w:t xml:space="preserve">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D92A6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BC1468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4E050869" w:rsidR="00F85C46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</w:t>
      </w:r>
      <w:r w:rsidR="00F85C46" w:rsidRPr="0061008C">
        <w:rPr>
          <w:rFonts w:cs="Arial"/>
          <w:szCs w:val="20"/>
          <w:lang w:eastAsia="ar-SA"/>
        </w:rPr>
        <w:lastRenderedPageBreak/>
        <w:t xml:space="preserve">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p w14:paraId="23E15A78" w14:textId="77777777" w:rsidR="00D35AE3" w:rsidRPr="00D35AE3" w:rsidRDefault="00D35AE3" w:rsidP="00BC1468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color w:val="000000"/>
          <w:szCs w:val="20"/>
          <w:lang w:eastAsia="ar-SA"/>
        </w:rPr>
      </w:pPr>
      <w:r w:rsidRPr="00D35AE3">
        <w:rPr>
          <w:rFonts w:cs="Arial"/>
          <w:b/>
          <w:color w:val="000000"/>
          <w:szCs w:val="20"/>
          <w:lang w:eastAsia="ar-SA"/>
        </w:rPr>
        <w:t>Umowa powierzenia.</w:t>
      </w:r>
    </w:p>
    <w:p w14:paraId="17588291" w14:textId="77777777" w:rsidR="00D35AE3" w:rsidRPr="00D35AE3" w:rsidRDefault="00D35AE3" w:rsidP="00D35AE3">
      <w:pPr>
        <w:tabs>
          <w:tab w:val="left" w:pos="142"/>
        </w:tabs>
        <w:spacing w:before="40" w:after="40"/>
        <w:ind w:left="993" w:firstLine="0"/>
        <w:rPr>
          <w:rFonts w:cs="Arial"/>
          <w:color w:val="000000"/>
          <w:szCs w:val="20"/>
          <w:lang w:eastAsia="ar-SA"/>
        </w:rPr>
      </w:pPr>
      <w:r w:rsidRPr="00D35AE3">
        <w:rPr>
          <w:rFonts w:cs="Arial"/>
          <w:color w:val="000000" w:themeColor="text1"/>
          <w:szCs w:val="20"/>
          <w:lang w:eastAsia="ar-SA"/>
        </w:rPr>
        <w:t>Jeżeli w trakcie realizacji przedmiotu zamówienia będą przetwarzane dane osobowe pracowników, Uniwersytet Śląski jako Administrator tych danych osobowych będzie powierzał ich przetwarzanie Wykonawcy, zgodnie z przepisem art. 28 ust. 3 RODO w drodze pisemnej umowy powierzenia przetwarzania danych osobowych.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B54E2" w:rsidRDefault="001B54E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B54E2" w:rsidRDefault="001B54E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1B54E2" w:rsidRPr="00F84EF3" w:rsidRDefault="001B54E2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25E90F48" w:rsidR="001B54E2" w:rsidRPr="00602A59" w:rsidRDefault="001B54E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176F022B">
              <wp:simplePos x="0" y="0"/>
              <wp:positionH relativeFrom="rightMargin">
                <wp:posOffset>180340</wp:posOffset>
              </wp:positionH>
              <wp:positionV relativeFrom="margin">
                <wp:posOffset>9164955</wp:posOffset>
              </wp:positionV>
              <wp:extent cx="323850" cy="36195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1B54E2" w:rsidRPr="00554026" w:rsidRDefault="001B54E2" w:rsidP="00C2705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0" w:firstLine="0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14.2pt;margin-top:721.65pt;width:25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" o:allowincell="f" stroked="f">
              <v:textbox inset="0,,0">
                <w:txbxContent>
                  <w:p w14:paraId="0229FFCF" w14:textId="5FC5A951" w:rsidR="001B54E2" w:rsidRPr="00554026" w:rsidRDefault="001B54E2" w:rsidP="00C2705F">
                    <w:pPr>
                      <w:pBdr>
                        <w:top w:val="single" w:sz="4" w:space="1" w:color="D8D8D8" w:themeColor="background1" w:themeShade="D8"/>
                      </w:pBdr>
                      <w:ind w:left="0" w:firstLine="0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4D18949E" w14:textId="7FB6E12A" w:rsidR="001B54E2" w:rsidRPr="00602A59" w:rsidRDefault="001B54E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1B54E2" w:rsidRPr="00602A59" w:rsidRDefault="001B54E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1B54E2" w:rsidRPr="003A2237" w:rsidRDefault="001B54E2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20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1B54E2" w:rsidRPr="003A2237" w:rsidRDefault="001B54E2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20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1B54E2" w:rsidRDefault="001B54E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1B54E2" w:rsidRDefault="000715B9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1B54E2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1B54E2" w:rsidRPr="00A36646" w:rsidRDefault="001B54E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1B54E2" w:rsidRPr="00602A59" w:rsidRDefault="001B54E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1B54E2" w:rsidRPr="00663D66" w:rsidRDefault="001B54E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1B54E2" w:rsidRPr="00663D66" w:rsidRDefault="001B54E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1B54E2" w:rsidRPr="00602A59" w:rsidRDefault="001B54E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1B54E2" w:rsidRPr="00602A59" w:rsidRDefault="001B54E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1B54E2" w:rsidRPr="00AF7FE4" w:rsidRDefault="001B54E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1B54E2" w:rsidRPr="00AF7FE4" w:rsidRDefault="001B54E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1B54E2" w:rsidRPr="00602A59" w:rsidRDefault="001B54E2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1B54E2" w:rsidRDefault="001B54E2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B54E2" w:rsidRDefault="001B54E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B54E2" w:rsidRDefault="001B54E2" w:rsidP="005D63CD">
      <w:pPr>
        <w:spacing w:line="240" w:lineRule="auto"/>
      </w:pPr>
      <w:r>
        <w:continuationSeparator/>
      </w:r>
    </w:p>
  </w:footnote>
  <w:footnote w:id="1">
    <w:p w14:paraId="5FC1E8F7" w14:textId="5158423F" w:rsidR="001B54E2" w:rsidRPr="00707DB3" w:rsidRDefault="001B54E2" w:rsidP="007372CC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707D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7DB3">
        <w:rPr>
          <w:rFonts w:ascii="Bahnschrift" w:hAnsi="Bahnschrift" w:cs="Arial"/>
          <w:sz w:val="22"/>
          <w:szCs w:val="22"/>
          <w:vertAlign w:val="superscript"/>
        </w:rPr>
        <w:t>- jeżeli Wykonaw</w:t>
      </w:r>
      <w:r w:rsidRPr="00707DB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707DB3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1B54E2" w:rsidRDefault="001B54E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1B54E2" w:rsidRDefault="001B54E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1B54E2" w:rsidRDefault="001B54E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2E65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0DE8FE9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A41353B"/>
    <w:multiLevelType w:val="hybridMultilevel"/>
    <w:tmpl w:val="AB184750"/>
    <w:lvl w:ilvl="0" w:tplc="C8FAB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5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6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15"/>
  </w:num>
  <w:num w:numId="10">
    <w:abstractNumId w:val="2"/>
  </w:num>
  <w:num w:numId="11">
    <w:abstractNumId w:val="14"/>
  </w:num>
  <w:num w:numId="12">
    <w:abstractNumId w:val="2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2"/>
    </w:lvlOverride>
  </w:num>
  <w:num w:numId="16">
    <w:abstractNumId w:val="2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3"/>
  </w:num>
  <w:num w:numId="33">
    <w:abstractNumId w:val="1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  <w:lvlOverride w:ilvl="0">
      <w:startOverride w:val="2"/>
    </w:lvlOverride>
  </w:num>
  <w:num w:numId="36">
    <w:abstractNumId w:val="2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10"/>
  </w:num>
  <w:num w:numId="47">
    <w:abstractNumId w:val="2"/>
    <w:lvlOverride w:ilvl="0">
      <w:startOverride w:val="1"/>
    </w:lvlOverride>
  </w:num>
  <w:num w:numId="48">
    <w:abstractNumId w:val="14"/>
    <w:lvlOverride w:ilvl="0">
      <w:startOverride w:val="1"/>
    </w:lvlOverride>
  </w:num>
  <w:num w:numId="49">
    <w:abstractNumId w:val="14"/>
    <w:lvlOverride w:ilvl="0">
      <w:startOverride w:val="1"/>
    </w:lvlOverride>
  </w:num>
  <w:num w:numId="50">
    <w:abstractNumId w:val="14"/>
    <w:lvlOverride w:ilvl="0">
      <w:startOverride w:val="1"/>
    </w:lvlOverride>
  </w:num>
  <w:num w:numId="51">
    <w:abstractNumId w:val="14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14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4"/>
  </w:num>
  <w:num w:numId="57">
    <w:abstractNumId w:val="2"/>
    <w:lvlOverride w:ilvl="0">
      <w:startOverride w:val="1"/>
    </w:lvlOverride>
  </w:num>
  <w:num w:numId="58">
    <w:abstractNumId w:val="1"/>
  </w:num>
  <w:num w:numId="59">
    <w:abstractNumId w:val="5"/>
    <w:lvlOverride w:ilvl="0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3"/>
  </w:num>
  <w:num w:numId="65">
    <w:abstractNumId w:val="2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2"/>
    <w:lvlOverride w:ilvl="0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18A0"/>
    <w:rsid w:val="00052289"/>
    <w:rsid w:val="00060216"/>
    <w:rsid w:val="00062715"/>
    <w:rsid w:val="000649CD"/>
    <w:rsid w:val="00065E6E"/>
    <w:rsid w:val="00066CCC"/>
    <w:rsid w:val="00070C25"/>
    <w:rsid w:val="000715B9"/>
    <w:rsid w:val="000729DF"/>
    <w:rsid w:val="00080C23"/>
    <w:rsid w:val="00081C9B"/>
    <w:rsid w:val="00083060"/>
    <w:rsid w:val="000836B7"/>
    <w:rsid w:val="000933CB"/>
    <w:rsid w:val="00097F71"/>
    <w:rsid w:val="000A18D5"/>
    <w:rsid w:val="000A2883"/>
    <w:rsid w:val="000A37EA"/>
    <w:rsid w:val="000A3D64"/>
    <w:rsid w:val="000A5BCB"/>
    <w:rsid w:val="000B0AAE"/>
    <w:rsid w:val="000C3522"/>
    <w:rsid w:val="000C5ABC"/>
    <w:rsid w:val="000D1F37"/>
    <w:rsid w:val="000D2D77"/>
    <w:rsid w:val="000D4915"/>
    <w:rsid w:val="000E587B"/>
    <w:rsid w:val="000F1B1F"/>
    <w:rsid w:val="000F58E7"/>
    <w:rsid w:val="00103256"/>
    <w:rsid w:val="00110217"/>
    <w:rsid w:val="00111FD4"/>
    <w:rsid w:val="001136D4"/>
    <w:rsid w:val="00113823"/>
    <w:rsid w:val="001161CE"/>
    <w:rsid w:val="00116B4A"/>
    <w:rsid w:val="00116C32"/>
    <w:rsid w:val="00120996"/>
    <w:rsid w:val="00120BAA"/>
    <w:rsid w:val="00124513"/>
    <w:rsid w:val="0012500C"/>
    <w:rsid w:val="00125FCF"/>
    <w:rsid w:val="001400B0"/>
    <w:rsid w:val="00140F4A"/>
    <w:rsid w:val="001463E7"/>
    <w:rsid w:val="00147280"/>
    <w:rsid w:val="001509D7"/>
    <w:rsid w:val="00151634"/>
    <w:rsid w:val="00155256"/>
    <w:rsid w:val="00170642"/>
    <w:rsid w:val="0017430E"/>
    <w:rsid w:val="0017647B"/>
    <w:rsid w:val="00177B6F"/>
    <w:rsid w:val="00180F86"/>
    <w:rsid w:val="001814C5"/>
    <w:rsid w:val="001863EA"/>
    <w:rsid w:val="001902EC"/>
    <w:rsid w:val="00197885"/>
    <w:rsid w:val="00197CBB"/>
    <w:rsid w:val="001A0C84"/>
    <w:rsid w:val="001A32D7"/>
    <w:rsid w:val="001A6B69"/>
    <w:rsid w:val="001B1AC0"/>
    <w:rsid w:val="001B54E2"/>
    <w:rsid w:val="001B6A6B"/>
    <w:rsid w:val="001C43D0"/>
    <w:rsid w:val="001D010D"/>
    <w:rsid w:val="001D05CD"/>
    <w:rsid w:val="001D186F"/>
    <w:rsid w:val="001D19C1"/>
    <w:rsid w:val="001D1C60"/>
    <w:rsid w:val="001E3FB3"/>
    <w:rsid w:val="001F13D8"/>
    <w:rsid w:val="001F525C"/>
    <w:rsid w:val="001F5933"/>
    <w:rsid w:val="00200A27"/>
    <w:rsid w:val="00220200"/>
    <w:rsid w:val="00221638"/>
    <w:rsid w:val="002237E6"/>
    <w:rsid w:val="00226310"/>
    <w:rsid w:val="00230DE9"/>
    <w:rsid w:val="002318AB"/>
    <w:rsid w:val="002371FE"/>
    <w:rsid w:val="00241B07"/>
    <w:rsid w:val="00241D9C"/>
    <w:rsid w:val="00242757"/>
    <w:rsid w:val="00244022"/>
    <w:rsid w:val="0024569E"/>
    <w:rsid w:val="00264155"/>
    <w:rsid w:val="002704F5"/>
    <w:rsid w:val="00272E3F"/>
    <w:rsid w:val="002767DF"/>
    <w:rsid w:val="00292A2C"/>
    <w:rsid w:val="00297EB3"/>
    <w:rsid w:val="002A3574"/>
    <w:rsid w:val="002A50F6"/>
    <w:rsid w:val="002B20B0"/>
    <w:rsid w:val="002B3B39"/>
    <w:rsid w:val="002B5872"/>
    <w:rsid w:val="002B6782"/>
    <w:rsid w:val="002D0F9F"/>
    <w:rsid w:val="002D1F91"/>
    <w:rsid w:val="002D273D"/>
    <w:rsid w:val="002D2F12"/>
    <w:rsid w:val="002D5306"/>
    <w:rsid w:val="002D64F0"/>
    <w:rsid w:val="002E4CF0"/>
    <w:rsid w:val="002E50B6"/>
    <w:rsid w:val="002F54F9"/>
    <w:rsid w:val="002F5524"/>
    <w:rsid w:val="002F56CF"/>
    <w:rsid w:val="002F78BE"/>
    <w:rsid w:val="00301EA8"/>
    <w:rsid w:val="00305D5C"/>
    <w:rsid w:val="0031115A"/>
    <w:rsid w:val="003144B0"/>
    <w:rsid w:val="00315CE9"/>
    <w:rsid w:val="00317F1D"/>
    <w:rsid w:val="00321B53"/>
    <w:rsid w:val="003322E2"/>
    <w:rsid w:val="003327C2"/>
    <w:rsid w:val="0033333B"/>
    <w:rsid w:val="003439DD"/>
    <w:rsid w:val="003531D1"/>
    <w:rsid w:val="00354EEE"/>
    <w:rsid w:val="00357D01"/>
    <w:rsid w:val="003620A2"/>
    <w:rsid w:val="0036258F"/>
    <w:rsid w:val="003636A2"/>
    <w:rsid w:val="00367079"/>
    <w:rsid w:val="00382315"/>
    <w:rsid w:val="00384DA3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D5F5C"/>
    <w:rsid w:val="003E05AE"/>
    <w:rsid w:val="003E1DB0"/>
    <w:rsid w:val="003E3BDD"/>
    <w:rsid w:val="003F77B9"/>
    <w:rsid w:val="00404C44"/>
    <w:rsid w:val="00410DFD"/>
    <w:rsid w:val="00415086"/>
    <w:rsid w:val="00416D5A"/>
    <w:rsid w:val="004238D1"/>
    <w:rsid w:val="00427658"/>
    <w:rsid w:val="004301EA"/>
    <w:rsid w:val="00430D9E"/>
    <w:rsid w:val="0043134E"/>
    <w:rsid w:val="00436D0E"/>
    <w:rsid w:val="00436F8D"/>
    <w:rsid w:val="004516FA"/>
    <w:rsid w:val="00451B71"/>
    <w:rsid w:val="00455B33"/>
    <w:rsid w:val="00457D79"/>
    <w:rsid w:val="00460043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D3863"/>
    <w:rsid w:val="004E0BD8"/>
    <w:rsid w:val="004F088D"/>
    <w:rsid w:val="004F19BB"/>
    <w:rsid w:val="00501A06"/>
    <w:rsid w:val="00506ABF"/>
    <w:rsid w:val="005149DB"/>
    <w:rsid w:val="00515101"/>
    <w:rsid w:val="00530CAA"/>
    <w:rsid w:val="005438D0"/>
    <w:rsid w:val="0055317F"/>
    <w:rsid w:val="00553D74"/>
    <w:rsid w:val="00557CB8"/>
    <w:rsid w:val="005625C2"/>
    <w:rsid w:val="00564C35"/>
    <w:rsid w:val="00584E90"/>
    <w:rsid w:val="00586657"/>
    <w:rsid w:val="00591ED9"/>
    <w:rsid w:val="00593C25"/>
    <w:rsid w:val="005968E9"/>
    <w:rsid w:val="005975F7"/>
    <w:rsid w:val="005A19CF"/>
    <w:rsid w:val="005A269D"/>
    <w:rsid w:val="005A39C3"/>
    <w:rsid w:val="005B34FE"/>
    <w:rsid w:val="005B5871"/>
    <w:rsid w:val="005B5BA7"/>
    <w:rsid w:val="005B7629"/>
    <w:rsid w:val="005D0757"/>
    <w:rsid w:val="005D2930"/>
    <w:rsid w:val="005D4855"/>
    <w:rsid w:val="005D63CD"/>
    <w:rsid w:val="005D7EA1"/>
    <w:rsid w:val="005E7B56"/>
    <w:rsid w:val="005F0C33"/>
    <w:rsid w:val="005F2A5F"/>
    <w:rsid w:val="005F32FA"/>
    <w:rsid w:val="00601DF8"/>
    <w:rsid w:val="00602A59"/>
    <w:rsid w:val="0061008C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615A"/>
    <w:rsid w:val="00660EA0"/>
    <w:rsid w:val="0066172A"/>
    <w:rsid w:val="00663D66"/>
    <w:rsid w:val="0066727E"/>
    <w:rsid w:val="006675AE"/>
    <w:rsid w:val="006727FE"/>
    <w:rsid w:val="00673F0B"/>
    <w:rsid w:val="006776DF"/>
    <w:rsid w:val="00687243"/>
    <w:rsid w:val="00687FDF"/>
    <w:rsid w:val="00693548"/>
    <w:rsid w:val="00696973"/>
    <w:rsid w:val="006A1250"/>
    <w:rsid w:val="006A5F11"/>
    <w:rsid w:val="006A784F"/>
    <w:rsid w:val="006B318B"/>
    <w:rsid w:val="006C1ABA"/>
    <w:rsid w:val="006C251D"/>
    <w:rsid w:val="006C5845"/>
    <w:rsid w:val="006D3219"/>
    <w:rsid w:val="006D4E1B"/>
    <w:rsid w:val="006D6009"/>
    <w:rsid w:val="006E2700"/>
    <w:rsid w:val="006E33C4"/>
    <w:rsid w:val="006E4544"/>
    <w:rsid w:val="006E6F89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3EB6"/>
    <w:rsid w:val="007347EC"/>
    <w:rsid w:val="007372CC"/>
    <w:rsid w:val="00737612"/>
    <w:rsid w:val="00740B18"/>
    <w:rsid w:val="00743CB0"/>
    <w:rsid w:val="00745B95"/>
    <w:rsid w:val="00747C84"/>
    <w:rsid w:val="007532E2"/>
    <w:rsid w:val="00753946"/>
    <w:rsid w:val="00765CD8"/>
    <w:rsid w:val="007667C8"/>
    <w:rsid w:val="007736C6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738"/>
    <w:rsid w:val="00794879"/>
    <w:rsid w:val="007A06EE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2259F"/>
    <w:rsid w:val="008267E1"/>
    <w:rsid w:val="008278FB"/>
    <w:rsid w:val="008325FA"/>
    <w:rsid w:val="00833B90"/>
    <w:rsid w:val="00842750"/>
    <w:rsid w:val="00845B0F"/>
    <w:rsid w:val="008548AF"/>
    <w:rsid w:val="008614DC"/>
    <w:rsid w:val="00863BE1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046A"/>
    <w:rsid w:val="008D1230"/>
    <w:rsid w:val="008D5E0B"/>
    <w:rsid w:val="008D6FBC"/>
    <w:rsid w:val="008E2280"/>
    <w:rsid w:val="008E42A2"/>
    <w:rsid w:val="008E48C1"/>
    <w:rsid w:val="008E5130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3402"/>
    <w:rsid w:val="00927D0B"/>
    <w:rsid w:val="0093436C"/>
    <w:rsid w:val="00946D2D"/>
    <w:rsid w:val="00953442"/>
    <w:rsid w:val="00956290"/>
    <w:rsid w:val="00957171"/>
    <w:rsid w:val="00957C9F"/>
    <w:rsid w:val="00961D5D"/>
    <w:rsid w:val="009714BA"/>
    <w:rsid w:val="00977411"/>
    <w:rsid w:val="0098442D"/>
    <w:rsid w:val="00985869"/>
    <w:rsid w:val="00990E43"/>
    <w:rsid w:val="0099161D"/>
    <w:rsid w:val="00996376"/>
    <w:rsid w:val="009A1C4B"/>
    <w:rsid w:val="009A3127"/>
    <w:rsid w:val="009A7AB0"/>
    <w:rsid w:val="009B0940"/>
    <w:rsid w:val="009B5DBA"/>
    <w:rsid w:val="009B64C5"/>
    <w:rsid w:val="009C40E6"/>
    <w:rsid w:val="009C5ED5"/>
    <w:rsid w:val="009C633A"/>
    <w:rsid w:val="009C6569"/>
    <w:rsid w:val="009D33A0"/>
    <w:rsid w:val="009D7BC2"/>
    <w:rsid w:val="009E4BCB"/>
    <w:rsid w:val="009E55CA"/>
    <w:rsid w:val="009E6622"/>
    <w:rsid w:val="009E68C1"/>
    <w:rsid w:val="009F21F0"/>
    <w:rsid w:val="009F449C"/>
    <w:rsid w:val="009F5C6B"/>
    <w:rsid w:val="009F6A1C"/>
    <w:rsid w:val="009F76A9"/>
    <w:rsid w:val="00A0368D"/>
    <w:rsid w:val="00A2561E"/>
    <w:rsid w:val="00A32C5A"/>
    <w:rsid w:val="00A36646"/>
    <w:rsid w:val="00A412FF"/>
    <w:rsid w:val="00A41B89"/>
    <w:rsid w:val="00A57F79"/>
    <w:rsid w:val="00A62353"/>
    <w:rsid w:val="00A62983"/>
    <w:rsid w:val="00A62DD6"/>
    <w:rsid w:val="00A75182"/>
    <w:rsid w:val="00A865A7"/>
    <w:rsid w:val="00A867B7"/>
    <w:rsid w:val="00A9008D"/>
    <w:rsid w:val="00A953DB"/>
    <w:rsid w:val="00AA192B"/>
    <w:rsid w:val="00AA645F"/>
    <w:rsid w:val="00AA68EB"/>
    <w:rsid w:val="00AA6F95"/>
    <w:rsid w:val="00AB3F05"/>
    <w:rsid w:val="00AC5720"/>
    <w:rsid w:val="00AD1DEF"/>
    <w:rsid w:val="00AD7B52"/>
    <w:rsid w:val="00AE0D46"/>
    <w:rsid w:val="00AE0FC0"/>
    <w:rsid w:val="00AF09ED"/>
    <w:rsid w:val="00AF1195"/>
    <w:rsid w:val="00AF6E83"/>
    <w:rsid w:val="00AF756E"/>
    <w:rsid w:val="00AF7FE4"/>
    <w:rsid w:val="00B01AF8"/>
    <w:rsid w:val="00B01CAB"/>
    <w:rsid w:val="00B1250E"/>
    <w:rsid w:val="00B15355"/>
    <w:rsid w:val="00B15A1F"/>
    <w:rsid w:val="00B16EC9"/>
    <w:rsid w:val="00B173C4"/>
    <w:rsid w:val="00B21686"/>
    <w:rsid w:val="00B241D6"/>
    <w:rsid w:val="00B262D1"/>
    <w:rsid w:val="00B26AE1"/>
    <w:rsid w:val="00B3055B"/>
    <w:rsid w:val="00B3356E"/>
    <w:rsid w:val="00B36767"/>
    <w:rsid w:val="00B376D2"/>
    <w:rsid w:val="00B46335"/>
    <w:rsid w:val="00B46D73"/>
    <w:rsid w:val="00B5370D"/>
    <w:rsid w:val="00B5456B"/>
    <w:rsid w:val="00B61F3A"/>
    <w:rsid w:val="00B65DC2"/>
    <w:rsid w:val="00B66BD4"/>
    <w:rsid w:val="00B71649"/>
    <w:rsid w:val="00B73B67"/>
    <w:rsid w:val="00B75AC0"/>
    <w:rsid w:val="00B7608D"/>
    <w:rsid w:val="00B76598"/>
    <w:rsid w:val="00B869AD"/>
    <w:rsid w:val="00B945EF"/>
    <w:rsid w:val="00BA39CA"/>
    <w:rsid w:val="00BA4B90"/>
    <w:rsid w:val="00BA4C2B"/>
    <w:rsid w:val="00BA4FE0"/>
    <w:rsid w:val="00BA7E0B"/>
    <w:rsid w:val="00BB1DAE"/>
    <w:rsid w:val="00BB33A4"/>
    <w:rsid w:val="00BB50C1"/>
    <w:rsid w:val="00BC1468"/>
    <w:rsid w:val="00BC63F1"/>
    <w:rsid w:val="00BD1DFF"/>
    <w:rsid w:val="00BD6F5D"/>
    <w:rsid w:val="00BE040C"/>
    <w:rsid w:val="00BE0652"/>
    <w:rsid w:val="00BE07E2"/>
    <w:rsid w:val="00BE7EB1"/>
    <w:rsid w:val="00BF120E"/>
    <w:rsid w:val="00BF1C1E"/>
    <w:rsid w:val="00BF4BB9"/>
    <w:rsid w:val="00BF5986"/>
    <w:rsid w:val="00BF716F"/>
    <w:rsid w:val="00BF753A"/>
    <w:rsid w:val="00C035AE"/>
    <w:rsid w:val="00C06BAC"/>
    <w:rsid w:val="00C12F23"/>
    <w:rsid w:val="00C14A8D"/>
    <w:rsid w:val="00C243F8"/>
    <w:rsid w:val="00C25340"/>
    <w:rsid w:val="00C2705F"/>
    <w:rsid w:val="00C32198"/>
    <w:rsid w:val="00C325E2"/>
    <w:rsid w:val="00C34A5B"/>
    <w:rsid w:val="00C512D2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C1292"/>
    <w:rsid w:val="00CD1C73"/>
    <w:rsid w:val="00CD6350"/>
    <w:rsid w:val="00CE4834"/>
    <w:rsid w:val="00CE7E76"/>
    <w:rsid w:val="00CF26F2"/>
    <w:rsid w:val="00CF4850"/>
    <w:rsid w:val="00CF553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35AE3"/>
    <w:rsid w:val="00D361DE"/>
    <w:rsid w:val="00D469D2"/>
    <w:rsid w:val="00D54C1C"/>
    <w:rsid w:val="00D61394"/>
    <w:rsid w:val="00D65CB7"/>
    <w:rsid w:val="00D73B02"/>
    <w:rsid w:val="00D749C0"/>
    <w:rsid w:val="00D83EC3"/>
    <w:rsid w:val="00D92A6D"/>
    <w:rsid w:val="00D963CD"/>
    <w:rsid w:val="00DA216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E054BA"/>
    <w:rsid w:val="00E07D95"/>
    <w:rsid w:val="00E10EFD"/>
    <w:rsid w:val="00E1454C"/>
    <w:rsid w:val="00E1641F"/>
    <w:rsid w:val="00E23287"/>
    <w:rsid w:val="00E25C1E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A3288"/>
    <w:rsid w:val="00EA5094"/>
    <w:rsid w:val="00EB2BA0"/>
    <w:rsid w:val="00EB6EA4"/>
    <w:rsid w:val="00EC3C34"/>
    <w:rsid w:val="00EC6402"/>
    <w:rsid w:val="00ED2E7A"/>
    <w:rsid w:val="00ED5508"/>
    <w:rsid w:val="00ED57DE"/>
    <w:rsid w:val="00ED6871"/>
    <w:rsid w:val="00EE14B3"/>
    <w:rsid w:val="00EE380D"/>
    <w:rsid w:val="00EE444D"/>
    <w:rsid w:val="00EE453B"/>
    <w:rsid w:val="00EE6932"/>
    <w:rsid w:val="00EF3DDD"/>
    <w:rsid w:val="00F00D4A"/>
    <w:rsid w:val="00F0343C"/>
    <w:rsid w:val="00F1351F"/>
    <w:rsid w:val="00F16680"/>
    <w:rsid w:val="00F17680"/>
    <w:rsid w:val="00F2187E"/>
    <w:rsid w:val="00F23144"/>
    <w:rsid w:val="00F23EE6"/>
    <w:rsid w:val="00F43774"/>
    <w:rsid w:val="00F54060"/>
    <w:rsid w:val="00F61001"/>
    <w:rsid w:val="00F65A36"/>
    <w:rsid w:val="00F66103"/>
    <w:rsid w:val="00F66A40"/>
    <w:rsid w:val="00F7731B"/>
    <w:rsid w:val="00F81CA1"/>
    <w:rsid w:val="00F8247C"/>
    <w:rsid w:val="00F84EF3"/>
    <w:rsid w:val="00F85C46"/>
    <w:rsid w:val="00F96069"/>
    <w:rsid w:val="00F96B4C"/>
    <w:rsid w:val="00F9784B"/>
    <w:rsid w:val="00FB0199"/>
    <w:rsid w:val="00FB1D1B"/>
    <w:rsid w:val="00FB3F58"/>
    <w:rsid w:val="00FC3A95"/>
    <w:rsid w:val="00FC76AF"/>
    <w:rsid w:val="00FD113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A34DC32"/>
  <w15:docId w15:val="{BE498B13-3A27-4092-A3BC-2B881556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E0EBE-4DFF-4795-96CA-68F6CB47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9638</Words>
  <Characters>57829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3</cp:revision>
  <cp:lastPrinted>2024-11-26T08:57:00Z</cp:lastPrinted>
  <dcterms:created xsi:type="dcterms:W3CDTF">2024-11-28T09:35:00Z</dcterms:created>
  <dcterms:modified xsi:type="dcterms:W3CDTF">2024-11-28T09:37:00Z</dcterms:modified>
</cp:coreProperties>
</file>